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54170" w14:textId="77777777" w:rsidR="000D665A" w:rsidRDefault="000D665A" w:rsidP="000D665A">
      <w:pPr>
        <w:pStyle w:val="NoSpacing"/>
      </w:pPr>
    </w:p>
    <w:p w14:paraId="71DC2F44" w14:textId="77777777" w:rsidR="000D665A" w:rsidRPr="004912F8" w:rsidRDefault="000D665A" w:rsidP="000D665A">
      <w:pPr>
        <w:spacing w:line="276" w:lineRule="auto"/>
        <w:jc w:val="center"/>
        <w:rPr>
          <w:b/>
        </w:rPr>
      </w:pPr>
      <w:r w:rsidRPr="004912F8">
        <w:rPr>
          <w:b/>
        </w:rPr>
        <w:t>PETROLEUM AND NATURAL GAS REGULATORY BOARD</w:t>
      </w:r>
    </w:p>
    <w:p w14:paraId="270E2BC8" w14:textId="77777777" w:rsidR="000D665A" w:rsidRPr="004912F8" w:rsidRDefault="000D665A" w:rsidP="000D665A">
      <w:pPr>
        <w:spacing w:line="276" w:lineRule="auto"/>
        <w:jc w:val="center"/>
        <w:rPr>
          <w:b/>
        </w:rPr>
      </w:pPr>
    </w:p>
    <w:p w14:paraId="65B256AB" w14:textId="77777777" w:rsidR="000D665A" w:rsidRPr="004912F8" w:rsidRDefault="000D665A" w:rsidP="000D665A">
      <w:pPr>
        <w:spacing w:line="276" w:lineRule="auto"/>
        <w:jc w:val="center"/>
        <w:rPr>
          <w:b/>
        </w:rPr>
      </w:pPr>
      <w:r w:rsidRPr="004912F8">
        <w:rPr>
          <w:b/>
        </w:rPr>
        <w:t>NOTIFICATION</w:t>
      </w:r>
    </w:p>
    <w:p w14:paraId="05B3D51C" w14:textId="77777777" w:rsidR="000D665A" w:rsidRPr="004912F8" w:rsidRDefault="000D665A" w:rsidP="000D665A">
      <w:pPr>
        <w:spacing w:line="276" w:lineRule="auto"/>
        <w:jc w:val="center"/>
      </w:pPr>
    </w:p>
    <w:p w14:paraId="5F0357BB" w14:textId="636232E6" w:rsidR="000D665A" w:rsidRPr="004912F8" w:rsidRDefault="000D665A" w:rsidP="000D665A">
      <w:pPr>
        <w:spacing w:line="276" w:lineRule="auto"/>
        <w:jc w:val="center"/>
      </w:pPr>
      <w:r w:rsidRPr="004912F8">
        <w:t>New Delhi, the</w:t>
      </w:r>
      <w:r>
        <w:t xml:space="preserve"> 30</w:t>
      </w:r>
      <w:r w:rsidRPr="000D665A">
        <w:rPr>
          <w:vertAlign w:val="superscript"/>
        </w:rPr>
        <w:t>th</w:t>
      </w:r>
      <w:r>
        <w:t xml:space="preserve"> </w:t>
      </w:r>
      <w:r>
        <w:t>September,</w:t>
      </w:r>
      <w:r w:rsidRPr="004912F8">
        <w:t xml:space="preserve"> 20</w:t>
      </w:r>
      <w:r>
        <w:t>20</w:t>
      </w:r>
    </w:p>
    <w:p w14:paraId="1E49827E" w14:textId="77777777" w:rsidR="000D665A" w:rsidRPr="004912F8" w:rsidRDefault="000D665A" w:rsidP="000D665A">
      <w:pPr>
        <w:tabs>
          <w:tab w:val="left" w:pos="7824"/>
        </w:tabs>
        <w:spacing w:line="276" w:lineRule="auto"/>
        <w:jc w:val="both"/>
      </w:pPr>
      <w:r>
        <w:tab/>
      </w:r>
    </w:p>
    <w:p w14:paraId="051FE249" w14:textId="6552056D" w:rsidR="000D665A" w:rsidRPr="004912F8" w:rsidRDefault="000D665A" w:rsidP="000D665A">
      <w:pPr>
        <w:spacing w:line="276" w:lineRule="auto"/>
        <w:ind w:right="4" w:firstLine="720"/>
        <w:jc w:val="both"/>
      </w:pPr>
      <w:r>
        <w:rPr>
          <w:b/>
        </w:rPr>
        <w:t>F</w:t>
      </w:r>
      <w:r>
        <w:rPr>
          <w:b/>
        </w:rPr>
        <w:t>.</w:t>
      </w:r>
      <w:r>
        <w:rPr>
          <w:b/>
        </w:rPr>
        <w:t xml:space="preserve"> No. PNGRB/Auth/7-</w:t>
      </w:r>
      <w:proofErr w:type="gramStart"/>
      <w:r>
        <w:rPr>
          <w:b/>
        </w:rPr>
        <w:t>Misc(</w:t>
      </w:r>
      <w:proofErr w:type="gramEnd"/>
      <w:r>
        <w:rPr>
          <w:b/>
        </w:rPr>
        <w:t>03)/2015 (P-143)</w:t>
      </w:r>
      <w:r w:rsidRPr="000D665A">
        <w:rPr>
          <w:b/>
          <w:bCs/>
        </w:rPr>
        <w:t xml:space="preserve">.— </w:t>
      </w:r>
      <w:r w:rsidRPr="004912F8">
        <w:rPr>
          <w:b/>
        </w:rPr>
        <w:t xml:space="preserve"> </w:t>
      </w:r>
      <w:r w:rsidRPr="004912F8">
        <w:t xml:space="preserve">In exercise of the powers conferred by </w:t>
      </w:r>
      <w:r>
        <w:t>S</w:t>
      </w:r>
      <w:r w:rsidRPr="004912F8">
        <w:t>ection 61 of the Petroleum and Natural Gas Regulatory Board Act, 2006 (19</w:t>
      </w:r>
      <w:r>
        <w:t xml:space="preserve"> </w:t>
      </w:r>
      <w:r w:rsidRPr="004912F8">
        <w:t>of 2006) and other applicable provisions of the</w:t>
      </w:r>
      <w:r>
        <w:t xml:space="preserve"> said</w:t>
      </w:r>
      <w:r w:rsidRPr="004912F8">
        <w:t xml:space="preserve"> Act, the Petroleum and Natural Gas Regulatory Board hereby makes the following regulations:-</w:t>
      </w:r>
    </w:p>
    <w:p w14:paraId="3338BB13" w14:textId="77777777" w:rsidR="000D665A" w:rsidRPr="004912F8" w:rsidRDefault="000D665A" w:rsidP="000D665A">
      <w:pPr>
        <w:spacing w:line="276" w:lineRule="auto"/>
        <w:jc w:val="both"/>
      </w:pPr>
    </w:p>
    <w:p w14:paraId="226D965B" w14:textId="77777777" w:rsidR="000D665A" w:rsidRPr="004912F8" w:rsidRDefault="000D665A" w:rsidP="000D665A">
      <w:pPr>
        <w:numPr>
          <w:ilvl w:val="0"/>
          <w:numId w:val="1"/>
        </w:numPr>
        <w:spacing w:line="276" w:lineRule="auto"/>
        <w:ind w:left="0" w:right="4" w:firstLine="0"/>
        <w:jc w:val="both"/>
        <w:rPr>
          <w:b/>
        </w:rPr>
      </w:pPr>
      <w:r w:rsidRPr="004912F8">
        <w:rPr>
          <w:b/>
        </w:rPr>
        <w:t>Short title and commencement</w:t>
      </w:r>
      <w:r>
        <w:rPr>
          <w:b/>
        </w:rPr>
        <w:t>:</w:t>
      </w:r>
    </w:p>
    <w:p w14:paraId="612DDB5A" w14:textId="77777777" w:rsidR="000D665A" w:rsidRPr="004912F8" w:rsidRDefault="000D665A" w:rsidP="000D665A">
      <w:pPr>
        <w:spacing w:line="276" w:lineRule="auto"/>
        <w:ind w:right="4"/>
        <w:jc w:val="both"/>
        <w:rPr>
          <w:b/>
        </w:rPr>
      </w:pPr>
    </w:p>
    <w:p w14:paraId="3744F1AC" w14:textId="77777777" w:rsidR="000D665A" w:rsidRPr="004912F8" w:rsidRDefault="000D665A" w:rsidP="000D665A">
      <w:pPr>
        <w:numPr>
          <w:ilvl w:val="0"/>
          <w:numId w:val="2"/>
        </w:numPr>
        <w:spacing w:line="276" w:lineRule="auto"/>
        <w:ind w:left="1418" w:right="4" w:hanging="709"/>
        <w:jc w:val="both"/>
      </w:pPr>
      <w:r w:rsidRPr="004912F8">
        <w:t>These regulations may be called the Petroleum and Natural Gas Regulatory Board (Guiding Principles for Declaring City or Local Natural Gas Distribution Networks as Common Carrier or Contract Carrier) Regulations, 20</w:t>
      </w:r>
      <w:r>
        <w:t>20</w:t>
      </w:r>
      <w:r w:rsidRPr="004912F8">
        <w:t>.</w:t>
      </w:r>
    </w:p>
    <w:p w14:paraId="6AF8357D" w14:textId="77777777" w:rsidR="000D665A" w:rsidRPr="004912F8" w:rsidRDefault="000D665A" w:rsidP="000D665A">
      <w:pPr>
        <w:spacing w:line="276" w:lineRule="auto"/>
        <w:ind w:right="4"/>
        <w:jc w:val="both"/>
      </w:pPr>
    </w:p>
    <w:p w14:paraId="4F28ECBA" w14:textId="77777777" w:rsidR="000D665A" w:rsidRDefault="000D665A" w:rsidP="000D665A">
      <w:pPr>
        <w:numPr>
          <w:ilvl w:val="0"/>
          <w:numId w:val="2"/>
        </w:numPr>
        <w:spacing w:line="276" w:lineRule="auto"/>
        <w:ind w:left="1418" w:right="4" w:hanging="709"/>
        <w:jc w:val="both"/>
      </w:pPr>
      <w:r w:rsidRPr="004912F8">
        <w:t>They shall come into force on the date of their publication in the Official Gazette.</w:t>
      </w:r>
    </w:p>
    <w:p w14:paraId="700E8032" w14:textId="77777777" w:rsidR="000D665A" w:rsidRDefault="000D665A" w:rsidP="000D665A">
      <w:pPr>
        <w:pStyle w:val="ListParagraph"/>
        <w:spacing w:line="276" w:lineRule="auto"/>
      </w:pPr>
    </w:p>
    <w:p w14:paraId="7758FC31" w14:textId="77777777" w:rsidR="000D665A" w:rsidRDefault="000D665A" w:rsidP="000D665A">
      <w:pPr>
        <w:numPr>
          <w:ilvl w:val="0"/>
          <w:numId w:val="1"/>
        </w:numPr>
        <w:spacing w:line="276" w:lineRule="auto"/>
        <w:ind w:left="709" w:right="4" w:hanging="709"/>
        <w:jc w:val="both"/>
        <w:rPr>
          <w:b/>
        </w:rPr>
      </w:pPr>
      <w:r w:rsidRPr="0066433C">
        <w:rPr>
          <w:b/>
        </w:rPr>
        <w:t>Objective</w:t>
      </w:r>
      <w:r>
        <w:rPr>
          <w:b/>
        </w:rPr>
        <w:t>:</w:t>
      </w:r>
    </w:p>
    <w:p w14:paraId="2BCFD1B9" w14:textId="77777777" w:rsidR="000D665A" w:rsidRPr="00F56F5A" w:rsidRDefault="000D665A" w:rsidP="000D665A">
      <w:pPr>
        <w:spacing w:line="276" w:lineRule="auto"/>
        <w:ind w:left="709" w:right="4"/>
        <w:jc w:val="both"/>
        <w:rPr>
          <w:b/>
        </w:rPr>
      </w:pPr>
    </w:p>
    <w:p w14:paraId="5EAD6BAA" w14:textId="77777777" w:rsidR="000D665A" w:rsidRDefault="000D665A" w:rsidP="000D665A">
      <w:pPr>
        <w:spacing w:line="276" w:lineRule="auto"/>
        <w:ind w:left="709" w:right="4"/>
        <w:jc w:val="both"/>
      </w:pPr>
      <w:r>
        <w:t xml:space="preserve">The objective of these regulations is to implement the provisions of the Act to achieve the objectives stated therein, </w:t>
      </w:r>
      <w:proofErr w:type="gramStart"/>
      <w:r>
        <w:t>namely:-</w:t>
      </w:r>
      <w:proofErr w:type="gramEnd"/>
    </w:p>
    <w:p w14:paraId="3E084135" w14:textId="77777777" w:rsidR="000D665A" w:rsidRDefault="000D665A" w:rsidP="000D665A">
      <w:pPr>
        <w:spacing w:line="276" w:lineRule="auto"/>
        <w:ind w:left="709" w:right="4"/>
        <w:jc w:val="both"/>
      </w:pPr>
    </w:p>
    <w:p w14:paraId="5DBA7009" w14:textId="77777777" w:rsidR="000D665A" w:rsidRDefault="000D665A" w:rsidP="000D665A">
      <w:pPr>
        <w:pStyle w:val="ListParagraph"/>
        <w:numPr>
          <w:ilvl w:val="0"/>
          <w:numId w:val="6"/>
        </w:numPr>
        <w:spacing w:line="276" w:lineRule="auto"/>
        <w:ind w:left="1418" w:right="4" w:hanging="567"/>
        <w:jc w:val="both"/>
      </w:pPr>
      <w:r>
        <w:t>protecting the interests of consumers by fostering fair trade and competition amongst the entities;</w:t>
      </w:r>
    </w:p>
    <w:p w14:paraId="5468E4AE" w14:textId="77777777" w:rsidR="000D665A" w:rsidRDefault="000D665A" w:rsidP="000D665A">
      <w:pPr>
        <w:pStyle w:val="ListParagraph"/>
        <w:numPr>
          <w:ilvl w:val="0"/>
          <w:numId w:val="6"/>
        </w:numPr>
        <w:spacing w:line="276" w:lineRule="auto"/>
        <w:ind w:left="1418" w:right="4" w:hanging="567"/>
        <w:jc w:val="both"/>
      </w:pPr>
      <w:r w:rsidRPr="004912F8">
        <w:t>promoting competition among entities;</w:t>
      </w:r>
    </w:p>
    <w:p w14:paraId="5719D820" w14:textId="77777777" w:rsidR="000D665A" w:rsidRDefault="000D665A" w:rsidP="000D665A">
      <w:pPr>
        <w:pStyle w:val="ListParagraph"/>
        <w:numPr>
          <w:ilvl w:val="0"/>
          <w:numId w:val="6"/>
        </w:numPr>
        <w:spacing w:line="276" w:lineRule="auto"/>
        <w:ind w:left="1418" w:right="4" w:hanging="567"/>
        <w:jc w:val="both"/>
      </w:pPr>
      <w:r w:rsidRPr="004912F8">
        <w:t xml:space="preserve">avoiding infructuous investment; </w:t>
      </w:r>
      <w:r>
        <w:t>or</w:t>
      </w:r>
    </w:p>
    <w:p w14:paraId="15853991" w14:textId="77777777" w:rsidR="000D665A" w:rsidRPr="004912F8" w:rsidRDefault="000D665A" w:rsidP="000D665A">
      <w:pPr>
        <w:pStyle w:val="ListParagraph"/>
        <w:numPr>
          <w:ilvl w:val="0"/>
          <w:numId w:val="6"/>
        </w:numPr>
        <w:spacing w:line="276" w:lineRule="auto"/>
        <w:ind w:left="1418" w:right="4" w:hanging="567"/>
        <w:jc w:val="both"/>
      </w:pPr>
      <w:r w:rsidRPr="004912F8">
        <w:t>maintaining or increasing supplies or for securing equitable distribution or ensuring adequate availability of natural gas to consumers.</w:t>
      </w:r>
    </w:p>
    <w:p w14:paraId="32FE1F68" w14:textId="77777777" w:rsidR="000D665A" w:rsidRDefault="000D665A" w:rsidP="000D665A">
      <w:pPr>
        <w:spacing w:line="276" w:lineRule="auto"/>
        <w:ind w:left="709" w:right="4"/>
        <w:jc w:val="both"/>
      </w:pPr>
    </w:p>
    <w:p w14:paraId="5A07A74E" w14:textId="77777777" w:rsidR="000D665A" w:rsidRPr="004912F8" w:rsidRDefault="000D665A" w:rsidP="000D665A">
      <w:pPr>
        <w:numPr>
          <w:ilvl w:val="0"/>
          <w:numId w:val="1"/>
        </w:numPr>
        <w:spacing w:line="276" w:lineRule="auto"/>
        <w:ind w:left="0" w:right="4" w:firstLine="0"/>
        <w:jc w:val="both"/>
        <w:rPr>
          <w:b/>
        </w:rPr>
      </w:pPr>
      <w:r w:rsidRPr="004912F8">
        <w:rPr>
          <w:b/>
        </w:rPr>
        <w:t>Definitions</w:t>
      </w:r>
      <w:r>
        <w:rPr>
          <w:b/>
        </w:rPr>
        <w:t>:</w:t>
      </w:r>
    </w:p>
    <w:p w14:paraId="72AA42F6" w14:textId="77777777" w:rsidR="000D665A" w:rsidRPr="004912F8" w:rsidRDefault="000D665A" w:rsidP="000D665A">
      <w:pPr>
        <w:spacing w:line="276" w:lineRule="auto"/>
        <w:ind w:right="4"/>
        <w:jc w:val="both"/>
        <w:rPr>
          <w:b/>
        </w:rPr>
      </w:pPr>
    </w:p>
    <w:p w14:paraId="08D7B93A" w14:textId="77777777" w:rsidR="000D665A" w:rsidRPr="004912F8" w:rsidRDefault="000D665A" w:rsidP="000D665A">
      <w:pPr>
        <w:numPr>
          <w:ilvl w:val="0"/>
          <w:numId w:val="3"/>
        </w:numPr>
        <w:spacing w:line="276" w:lineRule="auto"/>
        <w:ind w:left="1276" w:right="4" w:hanging="567"/>
        <w:jc w:val="both"/>
      </w:pPr>
      <w:r w:rsidRPr="004912F8">
        <w:t xml:space="preserve">In these </w:t>
      </w:r>
      <w:r>
        <w:t>r</w:t>
      </w:r>
      <w:r w:rsidRPr="004912F8">
        <w:t xml:space="preserve">egulations, unless the context otherwise </w:t>
      </w:r>
      <w:proofErr w:type="gramStart"/>
      <w:r w:rsidRPr="004912F8">
        <w:t>requires,-</w:t>
      </w:r>
      <w:proofErr w:type="gramEnd"/>
    </w:p>
    <w:p w14:paraId="56E9A23D" w14:textId="77777777" w:rsidR="000D665A" w:rsidRPr="004912F8" w:rsidRDefault="000D665A" w:rsidP="000D665A">
      <w:pPr>
        <w:spacing w:line="276" w:lineRule="auto"/>
        <w:ind w:left="1418" w:right="4"/>
        <w:jc w:val="both"/>
      </w:pPr>
    </w:p>
    <w:p w14:paraId="5C01D287" w14:textId="77777777" w:rsidR="000D665A" w:rsidRDefault="000D665A" w:rsidP="000D665A">
      <w:pPr>
        <w:numPr>
          <w:ilvl w:val="0"/>
          <w:numId w:val="5"/>
        </w:numPr>
        <w:spacing w:line="276" w:lineRule="auto"/>
        <w:ind w:left="1701" w:right="4" w:hanging="425"/>
        <w:jc w:val="both"/>
      </w:pPr>
      <w:r w:rsidRPr="004912F8">
        <w:t>“Act” means the Petroleum and Natural Gas Regulatory Board Act, 2006</w:t>
      </w:r>
      <w:r>
        <w:t xml:space="preserve"> (19 of 2006)</w:t>
      </w:r>
      <w:r w:rsidRPr="004912F8">
        <w:t>;</w:t>
      </w:r>
    </w:p>
    <w:p w14:paraId="4CF6731D" w14:textId="77777777" w:rsidR="000D665A" w:rsidRDefault="000D665A" w:rsidP="000D665A">
      <w:pPr>
        <w:spacing w:line="276" w:lineRule="auto"/>
        <w:ind w:left="1701" w:right="4"/>
        <w:jc w:val="both"/>
      </w:pPr>
    </w:p>
    <w:p w14:paraId="2A3394CD" w14:textId="149936FC" w:rsidR="000D665A" w:rsidRPr="000D665A" w:rsidRDefault="000D665A" w:rsidP="000D665A">
      <w:pPr>
        <w:numPr>
          <w:ilvl w:val="0"/>
          <w:numId w:val="5"/>
        </w:numPr>
        <w:spacing w:line="276" w:lineRule="auto"/>
        <w:ind w:left="1701" w:right="4" w:hanging="425"/>
        <w:jc w:val="both"/>
      </w:pPr>
      <w:r w:rsidRPr="005675D9">
        <w:t>"Associate"</w:t>
      </w:r>
      <w:r>
        <w:t xml:space="preserve">, </w:t>
      </w:r>
      <w:r w:rsidRPr="005675D9">
        <w:t>in relation to a person shall include another person</w:t>
      </w:r>
      <w:r>
        <w:t xml:space="preserve"> or vice </w:t>
      </w:r>
      <w:proofErr w:type="gramStart"/>
      <w:r>
        <w:t>versa:</w:t>
      </w:r>
      <w:r w:rsidRPr="000D665A">
        <w:t>—</w:t>
      </w:r>
      <w:proofErr w:type="gramEnd"/>
      <w:r w:rsidRPr="000D665A">
        <w:t xml:space="preserve"> </w:t>
      </w:r>
    </w:p>
    <w:p w14:paraId="17E03CC4" w14:textId="77777777" w:rsidR="000D665A" w:rsidRPr="005675D9" w:rsidRDefault="000D665A" w:rsidP="000D665A">
      <w:pPr>
        <w:pStyle w:val="ListParagraph"/>
        <w:numPr>
          <w:ilvl w:val="1"/>
          <w:numId w:val="7"/>
        </w:numPr>
        <w:spacing w:before="240" w:after="160" w:line="271" w:lineRule="auto"/>
        <w:ind w:left="2410" w:right="4" w:hanging="567"/>
        <w:jc w:val="both"/>
      </w:pPr>
      <w:r w:rsidRPr="005675D9">
        <w:lastRenderedPageBreak/>
        <w:t>who, directly or indirectly, by himself, or in combination with</w:t>
      </w:r>
      <w:r>
        <w:t xml:space="preserve"> some</w:t>
      </w:r>
      <w:r w:rsidRPr="005675D9">
        <w:t xml:space="preserve"> other persons, exercises control over the first </w:t>
      </w:r>
      <w:r>
        <w:t xml:space="preserve">said </w:t>
      </w:r>
      <w:r w:rsidRPr="005675D9">
        <w:t xml:space="preserve">person; </w:t>
      </w:r>
      <w:proofErr w:type="gramStart"/>
      <w:r w:rsidRPr="005675D9">
        <w:t>or</w:t>
      </w:r>
      <w:proofErr w:type="gramEnd"/>
      <w:r w:rsidRPr="005675D9">
        <w:t xml:space="preserve"> </w:t>
      </w:r>
    </w:p>
    <w:p w14:paraId="1087D8D6" w14:textId="6AEA79D8" w:rsidR="000D665A" w:rsidRPr="005675D9" w:rsidRDefault="000D665A" w:rsidP="000D665A">
      <w:pPr>
        <w:numPr>
          <w:ilvl w:val="1"/>
          <w:numId w:val="7"/>
        </w:numPr>
        <w:spacing w:before="240" w:after="160" w:line="271" w:lineRule="auto"/>
        <w:ind w:left="2410" w:right="4" w:hanging="567"/>
        <w:jc w:val="both"/>
      </w:pPr>
      <w:r w:rsidRPr="005675D9">
        <w:t xml:space="preserve">who holds control of at least twenty percent of the total voting </w:t>
      </w:r>
      <w:r>
        <w:t xml:space="preserve">right </w:t>
      </w:r>
      <w:r w:rsidRPr="005675D9">
        <w:t>of</w:t>
      </w:r>
      <w:r w:rsidRPr="005675D9">
        <w:t xml:space="preserve"> the first person; </w:t>
      </w:r>
      <w:proofErr w:type="gramStart"/>
      <w:r w:rsidRPr="005675D9">
        <w:t>or</w:t>
      </w:r>
      <w:proofErr w:type="gramEnd"/>
      <w:r w:rsidRPr="005675D9">
        <w:t xml:space="preserve"> </w:t>
      </w:r>
    </w:p>
    <w:p w14:paraId="469654F8" w14:textId="77777777" w:rsidR="000D665A" w:rsidRPr="005675D9" w:rsidRDefault="000D665A" w:rsidP="000D665A">
      <w:pPr>
        <w:numPr>
          <w:ilvl w:val="1"/>
          <w:numId w:val="7"/>
        </w:numPr>
        <w:spacing w:before="240" w:after="160" w:line="271" w:lineRule="auto"/>
        <w:ind w:left="2410" w:right="4" w:hanging="567"/>
        <w:jc w:val="both"/>
      </w:pPr>
      <w:r w:rsidRPr="005675D9">
        <w:t xml:space="preserve">who is a holding company or a subsidiary company of the first </w:t>
      </w:r>
      <w:r>
        <w:t xml:space="preserve">said </w:t>
      </w:r>
      <w:r w:rsidRPr="005675D9">
        <w:t xml:space="preserve">person; or </w:t>
      </w:r>
    </w:p>
    <w:p w14:paraId="10469606" w14:textId="77777777" w:rsidR="000D665A" w:rsidRPr="005675D9" w:rsidRDefault="000D665A" w:rsidP="000D665A">
      <w:pPr>
        <w:numPr>
          <w:ilvl w:val="1"/>
          <w:numId w:val="7"/>
        </w:numPr>
        <w:spacing w:before="240" w:after="160" w:line="271" w:lineRule="auto"/>
        <w:ind w:left="2410" w:right="4" w:hanging="567"/>
        <w:jc w:val="both"/>
      </w:pPr>
      <w:r>
        <w:t xml:space="preserve">in </w:t>
      </w:r>
      <w:r w:rsidRPr="005675D9">
        <w:t xml:space="preserve">such other cases where the Board is of the view that a person shall be considered as an associate based on the facts and factors including the extent of control, independence, conflict of interest; </w:t>
      </w:r>
    </w:p>
    <w:p w14:paraId="7EF6152E" w14:textId="77777777" w:rsidR="000D665A" w:rsidRDefault="000D665A" w:rsidP="000D665A">
      <w:pPr>
        <w:pStyle w:val="ListParagraph"/>
      </w:pPr>
    </w:p>
    <w:p w14:paraId="41977DF9" w14:textId="77777777" w:rsidR="000D665A" w:rsidRPr="004912F8" w:rsidRDefault="000D665A" w:rsidP="000D665A">
      <w:pPr>
        <w:numPr>
          <w:ilvl w:val="0"/>
          <w:numId w:val="5"/>
        </w:numPr>
        <w:spacing w:line="276" w:lineRule="auto"/>
        <w:ind w:left="1701" w:right="4" w:hanging="425"/>
        <w:jc w:val="both"/>
      </w:pPr>
      <w:r w:rsidRPr="004912F8">
        <w:t>“</w:t>
      </w:r>
      <w:r>
        <w:t>A</w:t>
      </w:r>
      <w:r w:rsidRPr="004912F8">
        <w:t xml:space="preserve">uthorized </w:t>
      </w:r>
      <w:r>
        <w:t>a</w:t>
      </w:r>
      <w:r w:rsidRPr="004912F8">
        <w:t xml:space="preserve">rea” </w:t>
      </w:r>
      <w:bookmarkStart w:id="0" w:name="_Hlk51844413"/>
      <w:r w:rsidRPr="004912F8">
        <w:t>shall have the mean</w:t>
      </w:r>
      <w:r>
        <w:t xml:space="preserve">ing </w:t>
      </w:r>
      <w:r w:rsidRPr="004912F8">
        <w:t xml:space="preserve">as defined </w:t>
      </w:r>
      <w:r>
        <w:t xml:space="preserve">in clause (c) of sub-regulation (1) of </w:t>
      </w:r>
      <w:r w:rsidRPr="004912F8">
        <w:t>regulation 2</w:t>
      </w:r>
      <w:r>
        <w:t xml:space="preserve"> </w:t>
      </w:r>
      <w:r w:rsidRPr="004912F8">
        <w:t xml:space="preserve">of the </w:t>
      </w:r>
      <w:bookmarkEnd w:id="0"/>
      <w:r w:rsidRPr="004912F8">
        <w:t>Petroleum and Natural Gas Regulatory Board (Authorizing Entities to Lay, Build, Operate or Expand City or Local Natural Gas Distribution Networks) Regulations, 2008;</w:t>
      </w:r>
    </w:p>
    <w:p w14:paraId="6BC88176" w14:textId="77777777" w:rsidR="000D665A" w:rsidRPr="004912F8" w:rsidRDefault="000D665A" w:rsidP="000D665A">
      <w:pPr>
        <w:pStyle w:val="ListParagraph"/>
        <w:spacing w:line="276" w:lineRule="auto"/>
        <w:ind w:left="1418" w:right="4" w:hanging="709"/>
        <w:jc w:val="both"/>
      </w:pPr>
    </w:p>
    <w:p w14:paraId="061B7B11" w14:textId="77777777" w:rsidR="000D665A" w:rsidRPr="004912F8" w:rsidRDefault="000D665A" w:rsidP="000D665A">
      <w:pPr>
        <w:numPr>
          <w:ilvl w:val="0"/>
          <w:numId w:val="5"/>
        </w:numPr>
        <w:spacing w:line="276" w:lineRule="auto"/>
        <w:ind w:left="1701" w:right="4" w:hanging="425"/>
        <w:jc w:val="both"/>
      </w:pPr>
      <w:r w:rsidRPr="004912F8">
        <w:t>“</w:t>
      </w:r>
      <w:bookmarkStart w:id="1" w:name="_Hlk50547486"/>
      <w:r>
        <w:t>A</w:t>
      </w:r>
      <w:r w:rsidRPr="004912F8">
        <w:t>uthorized entity</w:t>
      </w:r>
      <w:bookmarkEnd w:id="1"/>
      <w:r w:rsidRPr="004912F8">
        <w:t>”</w:t>
      </w:r>
      <w:r>
        <w:t xml:space="preserve"> </w:t>
      </w:r>
      <w:r w:rsidRPr="004912F8">
        <w:t xml:space="preserve">shall have the meaning as defined in </w:t>
      </w:r>
      <w:r>
        <w:t xml:space="preserve">clause (d) of section 2 of </w:t>
      </w:r>
      <w:r w:rsidRPr="004912F8">
        <w:t>the Act;</w:t>
      </w:r>
    </w:p>
    <w:p w14:paraId="674CDD91" w14:textId="77777777" w:rsidR="000D665A" w:rsidRPr="004912F8" w:rsidRDefault="000D665A" w:rsidP="000D665A">
      <w:pPr>
        <w:spacing w:line="276" w:lineRule="auto"/>
        <w:ind w:left="1701" w:right="4"/>
        <w:jc w:val="both"/>
      </w:pPr>
    </w:p>
    <w:p w14:paraId="0ADCEBD4" w14:textId="77777777" w:rsidR="000D665A" w:rsidRPr="004912F8" w:rsidRDefault="000D665A" w:rsidP="000D665A">
      <w:pPr>
        <w:numPr>
          <w:ilvl w:val="0"/>
          <w:numId w:val="5"/>
        </w:numPr>
        <w:spacing w:line="276" w:lineRule="auto"/>
        <w:ind w:left="1701" w:right="4" w:hanging="425"/>
        <w:jc w:val="both"/>
      </w:pPr>
      <w:r w:rsidRPr="004912F8">
        <w:t>“Board” shall mean the Petroleum and Natural Gas Regulatory Board;</w:t>
      </w:r>
    </w:p>
    <w:p w14:paraId="584FE9EC" w14:textId="77777777" w:rsidR="000D665A" w:rsidRPr="004912F8" w:rsidRDefault="000D665A" w:rsidP="000D665A">
      <w:pPr>
        <w:spacing w:line="276" w:lineRule="auto"/>
        <w:ind w:left="1701" w:right="4"/>
        <w:jc w:val="both"/>
      </w:pPr>
    </w:p>
    <w:p w14:paraId="0CCDEEA2" w14:textId="5B91D90A" w:rsidR="000D665A" w:rsidRDefault="000D665A" w:rsidP="000D665A">
      <w:pPr>
        <w:numPr>
          <w:ilvl w:val="0"/>
          <w:numId w:val="5"/>
        </w:numPr>
        <w:spacing w:line="276" w:lineRule="auto"/>
        <w:ind w:left="1701" w:right="4" w:hanging="425"/>
        <w:jc w:val="both"/>
      </w:pPr>
      <w:r w:rsidRPr="004912F8">
        <w:t xml:space="preserve">“CGD network” means a “city or local natural gas distribution </w:t>
      </w:r>
      <w:r w:rsidRPr="004912F8">
        <w:t>network” as</w:t>
      </w:r>
      <w:r w:rsidRPr="004912F8">
        <w:t xml:space="preserve"> defined </w:t>
      </w:r>
      <w:r>
        <w:t>in clause</w:t>
      </w:r>
      <w:r w:rsidRPr="004912F8">
        <w:t xml:space="preserve"> (</w:t>
      </w:r>
      <w:proofErr w:type="spellStart"/>
      <w:r w:rsidRPr="004912F8">
        <w:t>i</w:t>
      </w:r>
      <w:proofErr w:type="spellEnd"/>
      <w:r w:rsidRPr="004912F8">
        <w:t>) of section 2 of the Act;</w:t>
      </w:r>
    </w:p>
    <w:p w14:paraId="534885E8" w14:textId="77777777" w:rsidR="000D665A" w:rsidRDefault="000D665A" w:rsidP="000D665A">
      <w:pPr>
        <w:spacing w:line="276" w:lineRule="auto"/>
        <w:ind w:left="1701" w:right="4"/>
        <w:jc w:val="both"/>
      </w:pPr>
    </w:p>
    <w:p w14:paraId="2045F2F2" w14:textId="77777777" w:rsidR="000D665A" w:rsidRPr="004912F8" w:rsidRDefault="000D665A" w:rsidP="000D665A">
      <w:pPr>
        <w:numPr>
          <w:ilvl w:val="0"/>
          <w:numId w:val="5"/>
        </w:numPr>
        <w:spacing w:line="276" w:lineRule="auto"/>
        <w:ind w:left="1701" w:right="4" w:hanging="425"/>
        <w:jc w:val="both"/>
      </w:pPr>
      <w:r w:rsidRPr="004912F8">
        <w:t>“</w:t>
      </w:r>
      <w:bookmarkStart w:id="2" w:name="_Hlk50547615"/>
      <w:r w:rsidRPr="004912F8">
        <w:t xml:space="preserve">common carrier </w:t>
      </w:r>
      <w:r>
        <w:t xml:space="preserve">or </w:t>
      </w:r>
      <w:r w:rsidRPr="004912F8">
        <w:t>contract carrier capacity</w:t>
      </w:r>
      <w:bookmarkEnd w:id="2"/>
      <w:r w:rsidRPr="004912F8">
        <w:t>” means the capacity in a CGD network</w:t>
      </w:r>
      <w:r>
        <w:t xml:space="preserve"> for open access</w:t>
      </w:r>
      <w:r w:rsidRPr="004912F8">
        <w:t>, as declared</w:t>
      </w:r>
      <w:r>
        <w:t xml:space="preserve"> by the </w:t>
      </w:r>
      <w:proofErr w:type="spellStart"/>
      <w:r>
        <w:t>authroised</w:t>
      </w:r>
      <w:proofErr w:type="spellEnd"/>
      <w:r>
        <w:t xml:space="preserve"> entity </w:t>
      </w:r>
      <w:r w:rsidRPr="004912F8">
        <w:t xml:space="preserve">under </w:t>
      </w:r>
      <w:r>
        <w:t>the Petroleum and Natural Gas Regulatory Board (Access Code for City or Local Natural Gas Distribution Networks) Regulations, 2011</w:t>
      </w:r>
      <w:r w:rsidRPr="004912F8">
        <w:t>, over and above the authorized entity’s own requirement</w:t>
      </w:r>
      <w:r>
        <w:t>;</w:t>
      </w:r>
    </w:p>
    <w:p w14:paraId="3685E357" w14:textId="77777777" w:rsidR="000D665A" w:rsidRPr="004912F8" w:rsidRDefault="000D665A" w:rsidP="000D665A">
      <w:pPr>
        <w:spacing w:line="276" w:lineRule="auto"/>
        <w:ind w:left="1701" w:right="4"/>
        <w:jc w:val="both"/>
      </w:pPr>
    </w:p>
    <w:p w14:paraId="496F47A3" w14:textId="77777777" w:rsidR="000D665A" w:rsidRPr="004912F8" w:rsidRDefault="000D665A" w:rsidP="000D665A">
      <w:pPr>
        <w:numPr>
          <w:ilvl w:val="0"/>
          <w:numId w:val="5"/>
        </w:numPr>
        <w:spacing w:line="276" w:lineRule="auto"/>
        <w:ind w:left="1701" w:right="4" w:hanging="425"/>
        <w:jc w:val="both"/>
      </w:pPr>
      <w:r w:rsidRPr="004912F8">
        <w:t xml:space="preserve">“CGD network capacity” </w:t>
      </w:r>
      <w:bookmarkStart w:id="3" w:name="_Hlk51149895"/>
      <w:r w:rsidRPr="004912F8">
        <w:t>shall have the meaning as defined in</w:t>
      </w:r>
      <w:r>
        <w:t xml:space="preserve"> clause (g) of sub-</w:t>
      </w:r>
      <w:r w:rsidRPr="004912F8">
        <w:t>regulation</w:t>
      </w:r>
      <w:r>
        <w:t xml:space="preserve"> (1) of regulation</w:t>
      </w:r>
      <w:r w:rsidRPr="004912F8">
        <w:t xml:space="preserve"> 2 of the Petroleum and Natural Gas Regulatory Board (Determining Capacity of City or Local Natural Gas Distribution Network) Regulations, 2015;</w:t>
      </w:r>
    </w:p>
    <w:bookmarkEnd w:id="3"/>
    <w:p w14:paraId="4D1C198C" w14:textId="77777777" w:rsidR="000D665A" w:rsidRPr="004912F8" w:rsidRDefault="000D665A" w:rsidP="000D665A">
      <w:pPr>
        <w:spacing w:line="276" w:lineRule="auto"/>
        <w:ind w:left="1701" w:right="4"/>
        <w:jc w:val="both"/>
      </w:pPr>
    </w:p>
    <w:p w14:paraId="4A0CE7D3" w14:textId="77777777" w:rsidR="000D665A" w:rsidRPr="00D0349C" w:rsidRDefault="000D665A" w:rsidP="000D665A">
      <w:pPr>
        <w:numPr>
          <w:ilvl w:val="0"/>
          <w:numId w:val="5"/>
        </w:numPr>
        <w:spacing w:line="276" w:lineRule="auto"/>
        <w:ind w:left="1701" w:right="4" w:hanging="425"/>
        <w:jc w:val="both"/>
      </w:pPr>
      <w:r>
        <w:t xml:space="preserve">“marketer” </w:t>
      </w:r>
      <w:r w:rsidRPr="004912F8">
        <w:t>shall have the meaning as defined in</w:t>
      </w:r>
      <w:r>
        <w:t xml:space="preserve"> clause (z) of regulation</w:t>
      </w:r>
      <w:r w:rsidRPr="004912F8">
        <w:t xml:space="preserve"> 2 of the Petroleum and Natural Gas Regulatory Board (</w:t>
      </w:r>
      <w:r w:rsidRPr="00FA519F">
        <w:t>Access Code for City or Local Natural Gas Distribution Networks) Regulations, 2011;</w:t>
      </w:r>
    </w:p>
    <w:p w14:paraId="6C266CEE" w14:textId="77777777" w:rsidR="000D665A" w:rsidRPr="004912F8" w:rsidRDefault="000D665A" w:rsidP="000D665A">
      <w:pPr>
        <w:spacing w:line="276" w:lineRule="auto"/>
        <w:ind w:left="1701" w:right="4"/>
        <w:jc w:val="both"/>
      </w:pPr>
    </w:p>
    <w:p w14:paraId="192DDA27" w14:textId="77777777" w:rsidR="000D665A" w:rsidRPr="004912F8" w:rsidRDefault="000D665A" w:rsidP="000D665A">
      <w:pPr>
        <w:numPr>
          <w:ilvl w:val="0"/>
          <w:numId w:val="5"/>
        </w:numPr>
        <w:spacing w:line="276" w:lineRule="auto"/>
        <w:ind w:left="1701" w:right="4" w:hanging="425"/>
        <w:jc w:val="both"/>
      </w:pPr>
      <w:r>
        <w:t>“</w:t>
      </w:r>
      <w:r w:rsidRPr="004912F8">
        <w:t xml:space="preserve">marketing exclusivity” shall mean the exclusivity from the purview of common carrier or contract carrier as </w:t>
      </w:r>
      <w:r>
        <w:t xml:space="preserve">specified in </w:t>
      </w:r>
      <w:r w:rsidRPr="004912F8">
        <w:t xml:space="preserve">regulation 6 of the </w:t>
      </w:r>
      <w:r w:rsidRPr="004912F8">
        <w:lastRenderedPageBreak/>
        <w:t>Petroleum and Natural Gas Regulatory Board (Exclusivity for City or Local Natural Gas Distribution Network) Regulations, 2008;</w:t>
      </w:r>
    </w:p>
    <w:p w14:paraId="0F16CF08" w14:textId="77777777" w:rsidR="000D665A" w:rsidRPr="004912F8" w:rsidRDefault="000D665A" w:rsidP="000D665A">
      <w:pPr>
        <w:spacing w:line="276" w:lineRule="auto"/>
        <w:ind w:left="1701" w:right="4"/>
        <w:jc w:val="both"/>
      </w:pPr>
    </w:p>
    <w:p w14:paraId="7911169B" w14:textId="084E8D71" w:rsidR="000D665A" w:rsidRDefault="000D665A" w:rsidP="000D665A">
      <w:pPr>
        <w:numPr>
          <w:ilvl w:val="0"/>
          <w:numId w:val="5"/>
        </w:numPr>
        <w:spacing w:line="276" w:lineRule="auto"/>
        <w:ind w:left="1701" w:right="4" w:hanging="425"/>
        <w:jc w:val="both"/>
      </w:pPr>
      <w:r w:rsidRPr="004912F8">
        <w:t>“own requirement”</w:t>
      </w:r>
      <w:r>
        <w:t xml:space="preserve">, in respect </w:t>
      </w:r>
      <w:r>
        <w:t xml:space="preserve">of </w:t>
      </w:r>
      <w:r w:rsidRPr="004912F8">
        <w:t>an</w:t>
      </w:r>
      <w:r w:rsidRPr="004912F8">
        <w:t xml:space="preserve"> authorized entity</w:t>
      </w:r>
      <w:r>
        <w:t>,</w:t>
      </w:r>
      <w:r w:rsidRPr="004912F8">
        <w:t xml:space="preserve"> means th</w:t>
      </w:r>
      <w:r>
        <w:t>at</w:t>
      </w:r>
      <w:r w:rsidRPr="004912F8">
        <w:t xml:space="preserve"> part of the CGD network capacity</w:t>
      </w:r>
      <w:r>
        <w:t>, which is</w:t>
      </w:r>
      <w:r w:rsidRPr="004912F8">
        <w:t xml:space="preserve"> utilized by the authorized entity or its associates, including the system use gas;</w:t>
      </w:r>
    </w:p>
    <w:p w14:paraId="1F9D3B10" w14:textId="77777777" w:rsidR="000D665A" w:rsidRDefault="000D665A" w:rsidP="000D665A">
      <w:pPr>
        <w:pStyle w:val="ListParagraph"/>
      </w:pPr>
    </w:p>
    <w:p w14:paraId="6DEF86F0" w14:textId="77777777" w:rsidR="000D665A" w:rsidRPr="004912F8" w:rsidRDefault="000D665A" w:rsidP="000D665A">
      <w:pPr>
        <w:pStyle w:val="ListParagraph"/>
        <w:widowControl w:val="0"/>
        <w:numPr>
          <w:ilvl w:val="0"/>
          <w:numId w:val="5"/>
        </w:numPr>
        <w:autoSpaceDE w:val="0"/>
        <w:autoSpaceDN w:val="0"/>
        <w:adjustRightInd w:val="0"/>
        <w:spacing w:line="276" w:lineRule="auto"/>
        <w:ind w:left="1701" w:right="4" w:hanging="425"/>
        <w:jc w:val="both"/>
      </w:pPr>
      <w:r w:rsidRPr="001512F6">
        <w:rPr>
          <w:b/>
          <w:bCs/>
          <w:color w:val="000000"/>
        </w:rPr>
        <w:t>“</w:t>
      </w:r>
      <w:r w:rsidRPr="00C410AF">
        <w:rPr>
          <w:color w:val="000000"/>
          <w:spacing w:val="-1"/>
        </w:rPr>
        <w:t>s</w:t>
      </w:r>
      <w:r w:rsidRPr="00C410AF">
        <w:rPr>
          <w:color w:val="000000"/>
        </w:rPr>
        <w:t>ys</w:t>
      </w:r>
      <w:r w:rsidRPr="00C410AF">
        <w:rPr>
          <w:color w:val="000000"/>
          <w:spacing w:val="-1"/>
        </w:rPr>
        <w:t>t</w:t>
      </w:r>
      <w:r w:rsidRPr="00C410AF">
        <w:rPr>
          <w:color w:val="000000"/>
        </w:rPr>
        <w:t>em</w:t>
      </w:r>
      <w:r w:rsidRPr="00C410AF">
        <w:rPr>
          <w:color w:val="000000"/>
          <w:spacing w:val="37"/>
        </w:rPr>
        <w:t xml:space="preserve"> </w:t>
      </w:r>
      <w:r w:rsidRPr="00C410AF">
        <w:rPr>
          <w:color w:val="000000"/>
        </w:rPr>
        <w:t>u</w:t>
      </w:r>
      <w:r w:rsidRPr="00C410AF">
        <w:rPr>
          <w:color w:val="000000"/>
          <w:spacing w:val="-2"/>
        </w:rPr>
        <w:t>s</w:t>
      </w:r>
      <w:r w:rsidRPr="00C410AF">
        <w:rPr>
          <w:color w:val="000000"/>
        </w:rPr>
        <w:t>e</w:t>
      </w:r>
      <w:r w:rsidRPr="00C410AF">
        <w:rPr>
          <w:color w:val="000000"/>
          <w:spacing w:val="37"/>
        </w:rPr>
        <w:t xml:space="preserve"> </w:t>
      </w:r>
      <w:r w:rsidRPr="00C410AF">
        <w:rPr>
          <w:color w:val="000000"/>
        </w:rPr>
        <w:t>g</w:t>
      </w:r>
      <w:r w:rsidRPr="00C410AF">
        <w:rPr>
          <w:color w:val="000000"/>
          <w:spacing w:val="-1"/>
        </w:rPr>
        <w:t>as</w:t>
      </w:r>
      <w:r w:rsidRPr="001512F6">
        <w:rPr>
          <w:b/>
          <w:bCs/>
          <w:color w:val="000000"/>
        </w:rPr>
        <w:t>”</w:t>
      </w:r>
      <w:r w:rsidRPr="001512F6">
        <w:rPr>
          <w:b/>
          <w:bCs/>
          <w:color w:val="000000"/>
          <w:spacing w:val="34"/>
        </w:rPr>
        <w:t xml:space="preserve"> </w:t>
      </w:r>
      <w:r w:rsidRPr="004912F8">
        <w:t>shall have the mean</w:t>
      </w:r>
      <w:r>
        <w:t xml:space="preserve">ing </w:t>
      </w:r>
      <w:r w:rsidRPr="004912F8">
        <w:t xml:space="preserve">as defined </w:t>
      </w:r>
      <w:r>
        <w:t>in clause (</w:t>
      </w:r>
      <w:proofErr w:type="spellStart"/>
      <w:r>
        <w:t>zn</w:t>
      </w:r>
      <w:proofErr w:type="spellEnd"/>
      <w:r>
        <w:t xml:space="preserve">) of sub-regulation (1) of </w:t>
      </w:r>
      <w:r w:rsidRPr="004912F8">
        <w:t>regulation 2</w:t>
      </w:r>
      <w:r>
        <w:t xml:space="preserve"> </w:t>
      </w:r>
      <w:r w:rsidRPr="004912F8">
        <w:t xml:space="preserve">of the </w:t>
      </w:r>
      <w:r>
        <w:t>Petroleum and Natural Gas Regulatory Board (Access Code for City or Local Natural Gas Distribution Networks) Regulations, 2011</w:t>
      </w:r>
    </w:p>
    <w:p w14:paraId="191892E3" w14:textId="77777777" w:rsidR="000D665A" w:rsidRPr="004912F8" w:rsidRDefault="000D665A" w:rsidP="000D665A">
      <w:pPr>
        <w:spacing w:line="276" w:lineRule="auto"/>
        <w:ind w:left="1418" w:right="4" w:hanging="709"/>
        <w:jc w:val="both"/>
      </w:pPr>
    </w:p>
    <w:p w14:paraId="5EC7BEF1" w14:textId="77777777" w:rsidR="000D665A" w:rsidRPr="004912F8" w:rsidRDefault="000D665A" w:rsidP="000D665A">
      <w:pPr>
        <w:numPr>
          <w:ilvl w:val="0"/>
          <w:numId w:val="3"/>
        </w:numPr>
        <w:spacing w:line="276" w:lineRule="auto"/>
        <w:ind w:left="1276" w:right="4" w:hanging="567"/>
        <w:jc w:val="both"/>
      </w:pPr>
      <w:r w:rsidRPr="004912F8">
        <w:t xml:space="preserve">Words and expressions used and not defined in these </w:t>
      </w:r>
      <w:r>
        <w:t>r</w:t>
      </w:r>
      <w:r w:rsidRPr="004912F8">
        <w:t xml:space="preserve">egulations, but defined in the Act or in the rules or other regulations made thereunder, shall have the meanings respectively assigned to them in the Act or in </w:t>
      </w:r>
      <w:r>
        <w:t>such</w:t>
      </w:r>
      <w:r w:rsidRPr="004912F8">
        <w:t xml:space="preserve"> rules or other regulations, as the case may be.</w:t>
      </w:r>
    </w:p>
    <w:p w14:paraId="2FF51166" w14:textId="77777777" w:rsidR="000D665A" w:rsidRPr="004912F8" w:rsidRDefault="000D665A" w:rsidP="000D665A">
      <w:pPr>
        <w:spacing w:line="276" w:lineRule="auto"/>
        <w:ind w:right="4"/>
        <w:jc w:val="both"/>
      </w:pPr>
    </w:p>
    <w:p w14:paraId="67A93478" w14:textId="77777777" w:rsidR="000D665A" w:rsidRPr="004912F8" w:rsidRDefault="000D665A" w:rsidP="000D665A">
      <w:pPr>
        <w:numPr>
          <w:ilvl w:val="0"/>
          <w:numId w:val="1"/>
        </w:numPr>
        <w:spacing w:line="276" w:lineRule="auto"/>
        <w:ind w:left="0" w:right="4" w:firstLine="0"/>
        <w:jc w:val="both"/>
        <w:rPr>
          <w:b/>
        </w:rPr>
      </w:pPr>
      <w:r w:rsidRPr="004912F8">
        <w:rPr>
          <w:b/>
        </w:rPr>
        <w:t>Scope</w:t>
      </w:r>
      <w:r>
        <w:rPr>
          <w:b/>
        </w:rPr>
        <w:t>:</w:t>
      </w:r>
      <w:r w:rsidRPr="004912F8">
        <w:rPr>
          <w:b/>
        </w:rPr>
        <w:t xml:space="preserve"> </w:t>
      </w:r>
    </w:p>
    <w:p w14:paraId="614EC532" w14:textId="77777777" w:rsidR="000D665A" w:rsidRPr="004912F8" w:rsidRDefault="000D665A" w:rsidP="000D665A">
      <w:pPr>
        <w:spacing w:line="276" w:lineRule="auto"/>
        <w:ind w:right="4"/>
        <w:jc w:val="both"/>
        <w:rPr>
          <w:b/>
        </w:rPr>
      </w:pPr>
    </w:p>
    <w:p w14:paraId="25EFF4B2" w14:textId="77777777" w:rsidR="000D665A" w:rsidRPr="004912F8" w:rsidRDefault="000D665A" w:rsidP="000D665A">
      <w:pPr>
        <w:spacing w:line="276" w:lineRule="auto"/>
        <w:ind w:left="709" w:right="4"/>
        <w:jc w:val="both"/>
      </w:pPr>
      <w:r>
        <w:t>These Regulations shall apply to an authorised entity after expiry of marketing exclusivity period of an authorised area.</w:t>
      </w:r>
      <w:r w:rsidRPr="004912F8">
        <w:t xml:space="preserve"> </w:t>
      </w:r>
    </w:p>
    <w:p w14:paraId="018B08DD" w14:textId="77777777" w:rsidR="000D665A" w:rsidRPr="004912F8" w:rsidRDefault="000D665A" w:rsidP="000D665A">
      <w:pPr>
        <w:spacing w:line="276" w:lineRule="auto"/>
        <w:ind w:left="709" w:right="4"/>
        <w:jc w:val="both"/>
      </w:pPr>
    </w:p>
    <w:p w14:paraId="4DDFC29A" w14:textId="77777777" w:rsidR="000D665A" w:rsidRPr="004912F8" w:rsidRDefault="000D665A" w:rsidP="000D665A">
      <w:pPr>
        <w:numPr>
          <w:ilvl w:val="0"/>
          <w:numId w:val="1"/>
        </w:numPr>
        <w:spacing w:line="276" w:lineRule="auto"/>
        <w:ind w:left="709" w:right="4" w:hanging="709"/>
        <w:jc w:val="both"/>
        <w:rPr>
          <w:b/>
        </w:rPr>
      </w:pPr>
      <w:r w:rsidRPr="004912F8">
        <w:rPr>
          <w:b/>
        </w:rPr>
        <w:t xml:space="preserve">Guiding Principles for Declaring </w:t>
      </w:r>
      <w:r>
        <w:rPr>
          <w:b/>
        </w:rPr>
        <w:t xml:space="preserve">the </w:t>
      </w:r>
      <w:r w:rsidRPr="004912F8">
        <w:rPr>
          <w:b/>
        </w:rPr>
        <w:t xml:space="preserve">City or Local Natural Gas Distribution Network </w:t>
      </w:r>
      <w:bookmarkStart w:id="4" w:name="_Hlk51843779"/>
      <w:r>
        <w:rPr>
          <w:b/>
        </w:rPr>
        <w:t xml:space="preserve">of an authorised area </w:t>
      </w:r>
      <w:bookmarkEnd w:id="4"/>
      <w:r w:rsidRPr="004912F8">
        <w:rPr>
          <w:b/>
        </w:rPr>
        <w:t>as Common Carrier or Contract Carrier</w:t>
      </w:r>
      <w:r>
        <w:rPr>
          <w:b/>
        </w:rPr>
        <w:t>:</w:t>
      </w:r>
    </w:p>
    <w:p w14:paraId="1C397041" w14:textId="77777777" w:rsidR="000D665A" w:rsidRPr="004912F8" w:rsidRDefault="000D665A" w:rsidP="000D665A">
      <w:pPr>
        <w:spacing w:line="276" w:lineRule="auto"/>
        <w:ind w:left="720" w:right="4" w:hanging="720"/>
        <w:jc w:val="both"/>
      </w:pPr>
    </w:p>
    <w:p w14:paraId="6294388A" w14:textId="77777777" w:rsidR="000D665A" w:rsidRPr="004912F8" w:rsidRDefault="000D665A" w:rsidP="000D665A">
      <w:pPr>
        <w:spacing w:line="276" w:lineRule="auto"/>
        <w:ind w:left="709" w:right="4"/>
        <w:jc w:val="both"/>
      </w:pPr>
      <w:r w:rsidRPr="004912F8">
        <w:t xml:space="preserve">The Board shall, in seeking to declare </w:t>
      </w:r>
      <w:r>
        <w:t>CGD Network</w:t>
      </w:r>
      <w:r w:rsidRPr="00B602F0">
        <w:rPr>
          <w:b/>
        </w:rPr>
        <w:t xml:space="preserve"> </w:t>
      </w:r>
      <w:bookmarkStart w:id="5" w:name="_Hlk51843948"/>
      <w:r w:rsidRPr="00C410AF">
        <w:rPr>
          <w:bCs/>
        </w:rPr>
        <w:t xml:space="preserve">of an authorised </w:t>
      </w:r>
      <w:bookmarkEnd w:id="5"/>
      <w:r>
        <w:rPr>
          <w:bCs/>
        </w:rPr>
        <w:t>entity</w:t>
      </w:r>
      <w:r w:rsidRPr="00C410AF">
        <w:rPr>
          <w:bCs/>
        </w:rPr>
        <w:t xml:space="preserve"> </w:t>
      </w:r>
      <w:r w:rsidRPr="004912F8">
        <w:t>as a common carrier or contract carrier</w:t>
      </w:r>
      <w:r>
        <w:t xml:space="preserve">, follow the provisions of these regulations which constitute the guiding principles to be followed by the Board for declaring the CGD network as a common carrier or contract carrier under section 20 of the Act.  </w:t>
      </w:r>
    </w:p>
    <w:p w14:paraId="6B49F88C" w14:textId="77777777" w:rsidR="000D665A" w:rsidRPr="004912F8" w:rsidRDefault="000D665A" w:rsidP="000D665A">
      <w:pPr>
        <w:spacing w:line="276" w:lineRule="auto"/>
        <w:ind w:right="4"/>
        <w:jc w:val="both"/>
        <w:rPr>
          <w:b/>
        </w:rPr>
      </w:pPr>
    </w:p>
    <w:p w14:paraId="0FD0FAB7" w14:textId="77777777" w:rsidR="000D665A" w:rsidRPr="004912F8" w:rsidRDefault="000D665A" w:rsidP="000D665A">
      <w:pPr>
        <w:numPr>
          <w:ilvl w:val="0"/>
          <w:numId w:val="1"/>
        </w:numPr>
        <w:spacing w:line="276" w:lineRule="auto"/>
        <w:ind w:left="709" w:right="4" w:hanging="709"/>
        <w:jc w:val="both"/>
        <w:rPr>
          <w:b/>
        </w:rPr>
      </w:pPr>
      <w:r>
        <w:rPr>
          <w:b/>
        </w:rPr>
        <w:t xml:space="preserve">Procedure </w:t>
      </w:r>
      <w:r w:rsidRPr="004912F8">
        <w:rPr>
          <w:b/>
        </w:rPr>
        <w:t xml:space="preserve">for Declaring </w:t>
      </w:r>
      <w:r>
        <w:rPr>
          <w:b/>
        </w:rPr>
        <w:t xml:space="preserve">the </w:t>
      </w:r>
      <w:r w:rsidRPr="004912F8">
        <w:rPr>
          <w:b/>
        </w:rPr>
        <w:t xml:space="preserve">CGD </w:t>
      </w:r>
      <w:r>
        <w:rPr>
          <w:b/>
        </w:rPr>
        <w:t>N</w:t>
      </w:r>
      <w:r w:rsidRPr="004912F8">
        <w:rPr>
          <w:b/>
        </w:rPr>
        <w:t xml:space="preserve">etwork </w:t>
      </w:r>
      <w:r>
        <w:rPr>
          <w:b/>
        </w:rPr>
        <w:t>of</w:t>
      </w:r>
      <w:r w:rsidRPr="00C410AF">
        <w:rPr>
          <w:b/>
        </w:rPr>
        <w:t xml:space="preserve"> an authorised area</w:t>
      </w:r>
      <w:r w:rsidRPr="004912F8">
        <w:rPr>
          <w:b/>
        </w:rPr>
        <w:t xml:space="preserve"> as a Common Carrier or Contract Carrier</w:t>
      </w:r>
      <w:r>
        <w:rPr>
          <w:b/>
        </w:rPr>
        <w:t xml:space="preserve"> or Regulating or Allowing Access thereto u</w:t>
      </w:r>
      <w:r w:rsidRPr="004912F8">
        <w:rPr>
          <w:b/>
        </w:rPr>
        <w:t>nder Section 20 of the Act</w:t>
      </w:r>
      <w:r>
        <w:rPr>
          <w:b/>
        </w:rPr>
        <w:t xml:space="preserve">: </w:t>
      </w:r>
    </w:p>
    <w:p w14:paraId="5F2EE8AA" w14:textId="77777777" w:rsidR="000D665A" w:rsidRPr="004912F8" w:rsidRDefault="000D665A" w:rsidP="000D665A">
      <w:pPr>
        <w:spacing w:line="276" w:lineRule="auto"/>
        <w:ind w:right="4"/>
        <w:jc w:val="both"/>
        <w:rPr>
          <w:b/>
        </w:rPr>
      </w:pPr>
    </w:p>
    <w:p w14:paraId="25A0A5B7" w14:textId="77777777" w:rsidR="000D665A" w:rsidRPr="004912F8" w:rsidRDefault="000D665A" w:rsidP="000D665A">
      <w:pPr>
        <w:numPr>
          <w:ilvl w:val="0"/>
          <w:numId w:val="4"/>
        </w:numPr>
        <w:spacing w:line="276" w:lineRule="auto"/>
        <w:ind w:left="1134" w:right="4" w:hanging="425"/>
        <w:jc w:val="both"/>
      </w:pPr>
      <w:r w:rsidRPr="004912F8">
        <w:t>The Board shall issue (including webhosting), a public notice in one national and one vernacular daily newspaper (of the relevant authorized area)</w:t>
      </w:r>
      <w:r>
        <w:t xml:space="preserve"> </w:t>
      </w:r>
      <w:r w:rsidRPr="004912F8">
        <w:t xml:space="preserve">of its intention </w:t>
      </w:r>
      <w:bookmarkStart w:id="6" w:name="_Hlk52198369"/>
      <w:r w:rsidRPr="004912F8">
        <w:t>to declare</w:t>
      </w:r>
      <w:r>
        <w:t xml:space="preserve"> the </w:t>
      </w:r>
      <w:r w:rsidRPr="004912F8">
        <w:t xml:space="preserve">CGD network </w:t>
      </w:r>
      <w:r>
        <w:t xml:space="preserve">of an authorised entity </w:t>
      </w:r>
      <w:r w:rsidRPr="004912F8">
        <w:t>as common carrier or contract carrier</w:t>
      </w:r>
      <w:bookmarkEnd w:id="6"/>
      <w:r>
        <w:t xml:space="preserve"> or regulate or allow access to such  CGD network</w:t>
      </w:r>
      <w:r w:rsidRPr="004912F8">
        <w:t>, giving brief details of the relevant</w:t>
      </w:r>
      <w:r>
        <w:t xml:space="preserve"> </w:t>
      </w:r>
      <w:r w:rsidRPr="004912F8">
        <w:t>CGD network that the Board  is intending to</w:t>
      </w:r>
      <w:r>
        <w:t xml:space="preserve"> regulate or allow access to or</w:t>
      </w:r>
      <w:r w:rsidRPr="004912F8">
        <w:t xml:space="preserve"> declare as a common carrier or contract carrier</w:t>
      </w:r>
      <w:r>
        <w:t xml:space="preserve"> </w:t>
      </w:r>
      <w:r w:rsidRPr="004912F8">
        <w:t xml:space="preserve">and invite objections and suggestions, if any, within thirty days from the issuance of </w:t>
      </w:r>
      <w:r>
        <w:t>such</w:t>
      </w:r>
      <w:r w:rsidRPr="004912F8">
        <w:t xml:space="preserve"> public notice from all persons and entities likely to be affected by such decision. </w:t>
      </w:r>
    </w:p>
    <w:p w14:paraId="1F021CCC" w14:textId="77777777" w:rsidR="000D665A" w:rsidRDefault="000D665A" w:rsidP="000D665A">
      <w:pPr>
        <w:pStyle w:val="ListParagraph"/>
        <w:spacing w:line="276" w:lineRule="auto"/>
        <w:ind w:left="1134" w:hanging="425"/>
      </w:pPr>
    </w:p>
    <w:p w14:paraId="2F17843E" w14:textId="7D28FFAE" w:rsidR="000D665A" w:rsidRDefault="000D665A" w:rsidP="000D665A">
      <w:pPr>
        <w:numPr>
          <w:ilvl w:val="0"/>
          <w:numId w:val="4"/>
        </w:numPr>
        <w:spacing w:line="276" w:lineRule="auto"/>
        <w:ind w:left="1134" w:right="4" w:hanging="425"/>
        <w:jc w:val="both"/>
      </w:pPr>
      <w:r>
        <w:lastRenderedPageBreak/>
        <w:t>The</w:t>
      </w:r>
      <w:r w:rsidRPr="004912F8">
        <w:t xml:space="preserve"> </w:t>
      </w:r>
      <w:r>
        <w:t xml:space="preserve">relevant </w:t>
      </w:r>
      <w:r w:rsidRPr="004912F8">
        <w:t xml:space="preserve">authorized entity </w:t>
      </w:r>
      <w:r>
        <w:t xml:space="preserve">whose CGD network is intended </w:t>
      </w:r>
      <w:r w:rsidRPr="004912F8">
        <w:t xml:space="preserve">to </w:t>
      </w:r>
      <w:r>
        <w:t xml:space="preserve">be </w:t>
      </w:r>
      <w:r w:rsidRPr="004912F8">
        <w:t>declare</w:t>
      </w:r>
      <w:r>
        <w:t xml:space="preserve">d </w:t>
      </w:r>
      <w:r w:rsidRPr="004912F8">
        <w:t>as common carrier or contract carrier</w:t>
      </w:r>
      <w:r>
        <w:t xml:space="preserve"> may </w:t>
      </w:r>
      <w:r w:rsidRPr="004912F8">
        <w:t>submit</w:t>
      </w:r>
      <w:r>
        <w:t>,</w:t>
      </w:r>
      <w:r w:rsidRPr="004912F8">
        <w:t xml:space="preserve"> within thirty days from the issuance of </w:t>
      </w:r>
      <w:r>
        <w:t xml:space="preserve">such </w:t>
      </w:r>
      <w:r w:rsidRPr="004912F8">
        <w:t xml:space="preserve">public notice,  a written submission to the Board providing reasons as to why </w:t>
      </w:r>
      <w:r>
        <w:t>its</w:t>
      </w:r>
      <w:r w:rsidRPr="004912F8">
        <w:t xml:space="preserve"> CGD network should not be declared a common carrier or contract carrier </w:t>
      </w:r>
      <w:r>
        <w:t>or why there should be no regulation of access or no third party should be provided access to its CGD network</w:t>
      </w:r>
      <w:r w:rsidRPr="00145CC2">
        <w:rPr>
          <w:bCs/>
        </w:rPr>
        <w:t xml:space="preserve"> </w:t>
      </w:r>
      <w:r w:rsidRPr="004912F8">
        <w:t>including</w:t>
      </w:r>
      <w:r>
        <w:t xml:space="preserve"> </w:t>
      </w:r>
      <w:r w:rsidRPr="004912F8">
        <w:t>addressing</w:t>
      </w:r>
      <w:r>
        <w:t xml:space="preserve"> </w:t>
      </w:r>
      <w:r w:rsidRPr="004912F8">
        <w:t xml:space="preserve">the grounds mentioned by the Board in </w:t>
      </w:r>
      <w:r>
        <w:t xml:space="preserve">the relevant </w:t>
      </w:r>
      <w:r w:rsidRPr="004912F8">
        <w:t>public notice,</w:t>
      </w:r>
      <w:r>
        <w:t xml:space="preserve"> </w:t>
      </w:r>
      <w:r w:rsidRPr="004912F8">
        <w:t xml:space="preserve">and </w:t>
      </w:r>
      <w:r>
        <w:t xml:space="preserve">any </w:t>
      </w:r>
      <w:r w:rsidRPr="004912F8">
        <w:t>of the objectives specified in</w:t>
      </w:r>
      <w:r>
        <w:t xml:space="preserve"> the Act </w:t>
      </w:r>
      <w:r w:rsidRPr="004912F8">
        <w:t>with supporting data and documents</w:t>
      </w:r>
      <w:r>
        <w:t xml:space="preserve">. In case, </w:t>
      </w:r>
      <w:r w:rsidR="000F32C1">
        <w:t>the authorised</w:t>
      </w:r>
      <w:r>
        <w:t xml:space="preserve"> entity does not submit any written submissions, it shall be presumed that it has no objection to the Board’s intention stated in the public notice. </w:t>
      </w:r>
    </w:p>
    <w:p w14:paraId="343918F7" w14:textId="77777777" w:rsidR="000D665A" w:rsidRPr="008F015D" w:rsidRDefault="000D665A" w:rsidP="000D665A">
      <w:pPr>
        <w:spacing w:line="276" w:lineRule="auto"/>
        <w:ind w:left="1134" w:right="4" w:hanging="425"/>
        <w:jc w:val="both"/>
        <w:rPr>
          <w:sz w:val="32"/>
          <w:szCs w:val="32"/>
        </w:rPr>
      </w:pPr>
    </w:p>
    <w:p w14:paraId="0D7F786D" w14:textId="57655D15" w:rsidR="000D665A" w:rsidRDefault="000D665A" w:rsidP="000D665A">
      <w:pPr>
        <w:numPr>
          <w:ilvl w:val="0"/>
          <w:numId w:val="4"/>
        </w:numPr>
        <w:spacing w:line="276" w:lineRule="auto"/>
        <w:ind w:left="1134" w:right="4" w:hanging="425"/>
        <w:jc w:val="both"/>
      </w:pPr>
      <w:r w:rsidRPr="004912F8">
        <w:t>The authorized entity, whose CGD network is subject matter of the public</w:t>
      </w:r>
      <w:r w:rsidR="000F32C1">
        <w:t xml:space="preserve"> </w:t>
      </w:r>
      <w:r w:rsidRPr="004912F8">
        <w:t>notice issued under sub-regulation (1), shall be provided with a separate hearing on</w:t>
      </w:r>
      <w:r>
        <w:t xml:space="preserve"> the issue as to </w:t>
      </w:r>
      <w:r w:rsidRPr="004912F8">
        <w:t xml:space="preserve">whether the Board should proceed </w:t>
      </w:r>
      <w:r>
        <w:t>further with the process notified under sub-regulation (1)</w:t>
      </w:r>
      <w:r w:rsidRPr="004912F8">
        <w:t>.</w:t>
      </w:r>
      <w:r>
        <w:t xml:space="preserve"> In the event such authorized entity does not oppose the notice issued under sub-regulation (1), the separate hearing under this sub-regulation (3) shall not be held. </w:t>
      </w:r>
    </w:p>
    <w:p w14:paraId="6E3BA604" w14:textId="77777777" w:rsidR="000D665A" w:rsidRPr="008F015D" w:rsidRDefault="000D665A" w:rsidP="000D665A">
      <w:pPr>
        <w:pStyle w:val="ListParagraph"/>
        <w:spacing w:line="276" w:lineRule="auto"/>
        <w:ind w:left="1134" w:hanging="425"/>
        <w:jc w:val="both"/>
        <w:rPr>
          <w:sz w:val="28"/>
          <w:szCs w:val="28"/>
        </w:rPr>
      </w:pPr>
    </w:p>
    <w:p w14:paraId="015CDF0B" w14:textId="77777777" w:rsidR="000D665A" w:rsidRDefault="000D665A" w:rsidP="000D665A">
      <w:pPr>
        <w:pStyle w:val="ListParagraph"/>
        <w:numPr>
          <w:ilvl w:val="0"/>
          <w:numId w:val="4"/>
        </w:numPr>
        <w:spacing w:line="276" w:lineRule="auto"/>
        <w:ind w:left="1134" w:right="4" w:hanging="425"/>
        <w:jc w:val="both"/>
      </w:pPr>
      <w:r>
        <w:t xml:space="preserve">On expiry of the period allowed for submission of objections and suggestions, if any, under sub-regulation (1), the Board shall forward the objections and suggestions so received, to the </w:t>
      </w:r>
      <w:proofErr w:type="spellStart"/>
      <w:r>
        <w:t>authorised</w:t>
      </w:r>
      <w:proofErr w:type="spellEnd"/>
      <w:r>
        <w:t xml:space="preserve"> entity with the direction to submit its response within fifteen days.</w:t>
      </w:r>
    </w:p>
    <w:p w14:paraId="62E55893" w14:textId="77777777" w:rsidR="000D665A" w:rsidRPr="008F015D" w:rsidRDefault="000D665A" w:rsidP="000D665A">
      <w:pPr>
        <w:pStyle w:val="ListParagraph"/>
        <w:ind w:left="1134" w:hanging="425"/>
        <w:rPr>
          <w:sz w:val="32"/>
          <w:szCs w:val="32"/>
        </w:rPr>
      </w:pPr>
    </w:p>
    <w:p w14:paraId="1383E65C" w14:textId="77777777" w:rsidR="000D665A" w:rsidRDefault="000D665A" w:rsidP="000D665A">
      <w:pPr>
        <w:pStyle w:val="ListParagraph"/>
        <w:numPr>
          <w:ilvl w:val="0"/>
          <w:numId w:val="4"/>
        </w:numPr>
        <w:spacing w:line="276" w:lineRule="auto"/>
        <w:ind w:left="1134" w:right="4" w:hanging="425"/>
        <w:jc w:val="both"/>
      </w:pPr>
      <w:r>
        <w:t xml:space="preserve">The Board may invite all stakeholders including such persons and entities who have offered their objections and suggestions under sub-regulation (1) for an open house meeting. </w:t>
      </w:r>
    </w:p>
    <w:p w14:paraId="46290607" w14:textId="77777777" w:rsidR="000D665A" w:rsidRPr="008F015D" w:rsidRDefault="000D665A" w:rsidP="000D665A">
      <w:pPr>
        <w:pStyle w:val="ListParagraph"/>
        <w:ind w:left="1134" w:hanging="425"/>
        <w:rPr>
          <w:sz w:val="40"/>
          <w:szCs w:val="40"/>
        </w:rPr>
      </w:pPr>
    </w:p>
    <w:p w14:paraId="2ED913A2" w14:textId="77777777" w:rsidR="000D665A" w:rsidRDefault="000D665A" w:rsidP="000D665A">
      <w:pPr>
        <w:pStyle w:val="ListParagraph"/>
        <w:numPr>
          <w:ilvl w:val="0"/>
          <w:numId w:val="4"/>
        </w:numPr>
        <w:spacing w:line="276" w:lineRule="auto"/>
        <w:ind w:left="1134" w:right="4" w:hanging="425"/>
        <w:jc w:val="both"/>
      </w:pPr>
      <w:r>
        <w:t xml:space="preserve">The Board shall after completion of the process </w:t>
      </w:r>
      <w:r w:rsidRPr="004912F8">
        <w:t>of holding an open house</w:t>
      </w:r>
      <w:r>
        <w:t xml:space="preserve"> under sub-regulation (5) above, noti</w:t>
      </w:r>
      <w:r w:rsidRPr="004912F8">
        <w:t xml:space="preserve">fy its decision </w:t>
      </w:r>
      <w:r>
        <w:t>as to</w:t>
      </w:r>
      <w:r w:rsidRPr="004912F8">
        <w:t xml:space="preserve"> whether it is declaring the CGD network</w:t>
      </w:r>
      <w:r>
        <w:t xml:space="preserve"> </w:t>
      </w:r>
      <w:r w:rsidRPr="004912F8">
        <w:t>as a common carrier or contract carrier network</w:t>
      </w:r>
      <w:r>
        <w:t xml:space="preserve"> or regulating access or allowing access to the same, and </w:t>
      </w:r>
      <w:r w:rsidRPr="004912F8">
        <w:t xml:space="preserve">the </w:t>
      </w:r>
      <w:r>
        <w:t xml:space="preserve">applicable </w:t>
      </w:r>
      <w:r w:rsidRPr="004912F8">
        <w:t>terms and conditions</w:t>
      </w:r>
      <w:r>
        <w:t xml:space="preserve"> and the date from which such decision shall come into effect. </w:t>
      </w:r>
    </w:p>
    <w:p w14:paraId="58D30691" w14:textId="77777777" w:rsidR="000D665A" w:rsidRDefault="000D665A" w:rsidP="000D665A">
      <w:pPr>
        <w:pStyle w:val="ListParagraph"/>
        <w:ind w:left="1134" w:hanging="425"/>
      </w:pPr>
    </w:p>
    <w:p w14:paraId="32AFC4EA" w14:textId="4541F556" w:rsidR="000D665A" w:rsidRPr="004912F8" w:rsidRDefault="000D665A" w:rsidP="000D665A">
      <w:pPr>
        <w:pStyle w:val="ListParagraph"/>
        <w:numPr>
          <w:ilvl w:val="0"/>
          <w:numId w:val="4"/>
        </w:numPr>
        <w:spacing w:line="276" w:lineRule="auto"/>
        <w:ind w:left="1134" w:right="4" w:hanging="425"/>
        <w:jc w:val="both"/>
      </w:pPr>
      <w:r>
        <w:t>T</w:t>
      </w:r>
      <w:r w:rsidRPr="004912F8">
        <w:t xml:space="preserve">he authorized entity may, on </w:t>
      </w:r>
      <w:r>
        <w:t>its own</w:t>
      </w:r>
      <w:r w:rsidRPr="004912F8">
        <w:t xml:space="preserve">, apply to the Board seeking declaration of </w:t>
      </w:r>
      <w:r>
        <w:t>the</w:t>
      </w:r>
      <w:r w:rsidRPr="004912F8">
        <w:t xml:space="preserve"> CGD network</w:t>
      </w:r>
      <w:r>
        <w:t xml:space="preserve"> </w:t>
      </w:r>
      <w:r w:rsidRPr="006F3D59">
        <w:rPr>
          <w:bCs/>
        </w:rPr>
        <w:t xml:space="preserve">in </w:t>
      </w:r>
      <w:r>
        <w:rPr>
          <w:bCs/>
        </w:rPr>
        <w:t>its</w:t>
      </w:r>
      <w:r w:rsidRPr="006F3D59">
        <w:rPr>
          <w:bCs/>
        </w:rPr>
        <w:t xml:space="preserve"> </w:t>
      </w:r>
      <w:proofErr w:type="spellStart"/>
      <w:r w:rsidRPr="006F3D59">
        <w:rPr>
          <w:bCs/>
        </w:rPr>
        <w:t>authorised</w:t>
      </w:r>
      <w:proofErr w:type="spellEnd"/>
      <w:r w:rsidRPr="006F3D59">
        <w:rPr>
          <w:bCs/>
        </w:rPr>
        <w:t xml:space="preserve"> area</w:t>
      </w:r>
      <w:r>
        <w:t xml:space="preserve"> </w:t>
      </w:r>
      <w:r w:rsidRPr="004912F8">
        <w:t>as a common carrier or contract carrier network</w:t>
      </w:r>
      <w:r>
        <w:t>. T</w:t>
      </w:r>
      <w:r w:rsidRPr="004912F8">
        <w:t xml:space="preserve">he Board may after following the process </w:t>
      </w:r>
      <w:r>
        <w:t>specified</w:t>
      </w:r>
      <w:r w:rsidRPr="004912F8">
        <w:t xml:space="preserve"> in </w:t>
      </w:r>
      <w:r>
        <w:t>sub-</w:t>
      </w:r>
      <w:r w:rsidRPr="004912F8">
        <w:t>regulation</w:t>
      </w:r>
      <w:r>
        <w:t>s</w:t>
      </w:r>
      <w:r w:rsidRPr="004912F8">
        <w:t xml:space="preserve"> (</w:t>
      </w:r>
      <w:r>
        <w:t>1</w:t>
      </w:r>
      <w:r w:rsidRPr="004912F8">
        <w:t>)</w:t>
      </w:r>
      <w:r>
        <w:t xml:space="preserve"> to (7) </w:t>
      </w:r>
      <w:r w:rsidRPr="004912F8">
        <w:t xml:space="preserve">as may be </w:t>
      </w:r>
      <w:proofErr w:type="spellStart"/>
      <w:r w:rsidRPr="00452057">
        <w:rPr>
          <w:i/>
          <w:iCs/>
        </w:rPr>
        <w:t>mutantis</w:t>
      </w:r>
      <w:proofErr w:type="spellEnd"/>
      <w:r w:rsidRPr="00452057">
        <w:rPr>
          <w:i/>
          <w:iCs/>
        </w:rPr>
        <w:t xml:space="preserve"> mutandi</w:t>
      </w:r>
      <w:r>
        <w:rPr>
          <w:i/>
          <w:iCs/>
        </w:rPr>
        <w:t>s applicable</w:t>
      </w:r>
      <w:r w:rsidRPr="004912F8">
        <w:t xml:space="preserve">, declare </w:t>
      </w:r>
      <w:r>
        <w:t>such</w:t>
      </w:r>
      <w:r w:rsidRPr="004912F8">
        <w:t xml:space="preserve"> CGD network as a common carrier or contract carrier network on such terms and conditions</w:t>
      </w:r>
      <w:r>
        <w:t xml:space="preserve"> and from such date</w:t>
      </w:r>
      <w:r w:rsidRPr="004912F8">
        <w:t xml:space="preserve"> as </w:t>
      </w:r>
      <w:r>
        <w:t xml:space="preserve">the </w:t>
      </w:r>
      <w:r w:rsidR="000F32C1">
        <w:t xml:space="preserve">Board </w:t>
      </w:r>
      <w:r w:rsidR="000F32C1" w:rsidRPr="004912F8">
        <w:t>may</w:t>
      </w:r>
      <w:r>
        <w:t xml:space="preserve"> </w:t>
      </w:r>
      <w:r w:rsidRPr="004912F8">
        <w:t>deem fit.</w:t>
      </w:r>
    </w:p>
    <w:p w14:paraId="1C220F7D" w14:textId="77777777" w:rsidR="000D665A" w:rsidRDefault="000D665A" w:rsidP="000D665A">
      <w:pPr>
        <w:spacing w:line="276" w:lineRule="auto"/>
        <w:ind w:right="4" w:firstLine="720"/>
        <w:jc w:val="both"/>
        <w:rPr>
          <w:b/>
        </w:rPr>
      </w:pPr>
    </w:p>
    <w:p w14:paraId="61B8F704" w14:textId="77777777" w:rsidR="000D665A" w:rsidRDefault="000D665A" w:rsidP="000D665A">
      <w:pPr>
        <w:spacing w:line="276" w:lineRule="auto"/>
        <w:ind w:right="4" w:firstLine="720"/>
        <w:jc w:val="both"/>
        <w:rPr>
          <w:b/>
        </w:rPr>
      </w:pPr>
    </w:p>
    <w:p w14:paraId="0FE92EAC" w14:textId="77777777" w:rsidR="000D665A" w:rsidRPr="008F015D" w:rsidRDefault="000D665A" w:rsidP="000D665A">
      <w:pPr>
        <w:spacing w:line="276" w:lineRule="auto"/>
        <w:ind w:right="4" w:firstLine="720"/>
        <w:jc w:val="both"/>
        <w:rPr>
          <w:b/>
        </w:rPr>
      </w:pPr>
    </w:p>
    <w:p w14:paraId="7FB02445" w14:textId="77777777" w:rsidR="000D665A" w:rsidRDefault="000D665A" w:rsidP="000D665A">
      <w:pPr>
        <w:numPr>
          <w:ilvl w:val="0"/>
          <w:numId w:val="1"/>
        </w:numPr>
        <w:spacing w:line="276" w:lineRule="auto"/>
        <w:ind w:left="709" w:right="4" w:hanging="709"/>
        <w:jc w:val="both"/>
        <w:rPr>
          <w:b/>
        </w:rPr>
      </w:pPr>
      <w:r w:rsidRPr="004912F8">
        <w:rPr>
          <w:b/>
        </w:rPr>
        <w:lastRenderedPageBreak/>
        <w:t>Miscellaneous</w:t>
      </w:r>
      <w:r>
        <w:rPr>
          <w:b/>
        </w:rPr>
        <w:t>:</w:t>
      </w:r>
    </w:p>
    <w:p w14:paraId="236C5637" w14:textId="77777777" w:rsidR="000D665A" w:rsidRDefault="000D665A" w:rsidP="000D665A">
      <w:pPr>
        <w:spacing w:before="100" w:beforeAutospacing="1" w:after="100" w:afterAutospacing="1" w:line="276" w:lineRule="auto"/>
        <w:ind w:left="1134" w:hanging="425"/>
        <w:jc w:val="both"/>
      </w:pPr>
      <w:r>
        <w:t xml:space="preserve">(1) </w:t>
      </w:r>
      <w:r>
        <w:tab/>
      </w:r>
      <w:r w:rsidRPr="004912F8">
        <w:t>The Board shall have the power to issue clarifications with regard to these regulations and in case of any dispute, the clarification given by the Board shall be final</w:t>
      </w:r>
      <w:r>
        <w:t xml:space="preserve"> and binding. </w:t>
      </w:r>
    </w:p>
    <w:p w14:paraId="0E344C3B" w14:textId="77777777" w:rsidR="000D665A" w:rsidRDefault="000D665A" w:rsidP="000D665A">
      <w:pPr>
        <w:spacing w:before="100" w:beforeAutospacing="1" w:after="100" w:afterAutospacing="1" w:line="276" w:lineRule="auto"/>
        <w:ind w:left="1134" w:hanging="425"/>
        <w:jc w:val="both"/>
      </w:pPr>
      <w:r>
        <w:t>(2)</w:t>
      </w:r>
      <w:r>
        <w:tab/>
      </w:r>
      <w:r w:rsidRPr="004912F8">
        <w:t>If any question arises as to the interpretation of these regulations, the same shall be</w:t>
      </w:r>
      <w:r>
        <w:t xml:space="preserve"> </w:t>
      </w:r>
      <w:r w:rsidRPr="004912F8">
        <w:t>decided by</w:t>
      </w:r>
      <w:r>
        <w:t xml:space="preserve"> </w:t>
      </w:r>
      <w:r w:rsidRPr="004912F8">
        <w:t>the Board.</w:t>
      </w:r>
      <w:r w:rsidRPr="004912F8" w:rsidDel="00E10389">
        <w:t xml:space="preserve"> </w:t>
      </w:r>
    </w:p>
    <w:p w14:paraId="74CDBDEC" w14:textId="77777777" w:rsidR="000F32C1" w:rsidRDefault="000F32C1" w:rsidP="000F32C1">
      <w:pPr>
        <w:ind w:left="1134" w:hanging="425"/>
        <w:jc w:val="right"/>
      </w:pPr>
    </w:p>
    <w:p w14:paraId="46389BCB" w14:textId="77777777" w:rsidR="000F32C1" w:rsidRDefault="000F32C1" w:rsidP="000F32C1">
      <w:pPr>
        <w:ind w:left="1134" w:hanging="425"/>
        <w:jc w:val="right"/>
      </w:pPr>
    </w:p>
    <w:p w14:paraId="5A7DDD79" w14:textId="13FC042B" w:rsidR="000F32C1" w:rsidRDefault="000F32C1" w:rsidP="000F32C1">
      <w:pPr>
        <w:ind w:left="1134" w:hanging="425"/>
        <w:jc w:val="right"/>
      </w:pPr>
      <w:r>
        <w:t xml:space="preserve">VANDANA SHARMA, Secy. </w:t>
      </w:r>
    </w:p>
    <w:p w14:paraId="4A6A2DE9" w14:textId="201ED92A" w:rsidR="000D665A" w:rsidRDefault="000F32C1" w:rsidP="000F32C1">
      <w:pPr>
        <w:ind w:left="1134" w:hanging="425"/>
        <w:jc w:val="right"/>
        <w:rPr>
          <w:lang w:eastAsia="en-IN"/>
        </w:rPr>
      </w:pPr>
      <w:r>
        <w:t>[ADVT.-III/4/</w:t>
      </w:r>
      <w:proofErr w:type="spellStart"/>
      <w:proofErr w:type="gramStart"/>
      <w:r>
        <w:t>Exty</w:t>
      </w:r>
      <w:proofErr w:type="spellEnd"/>
      <w:r>
        <w:t>./</w:t>
      </w:r>
      <w:proofErr w:type="gramEnd"/>
      <w:r>
        <w:t>265/2020-21]</w:t>
      </w:r>
    </w:p>
    <w:p w14:paraId="633248E1" w14:textId="42C52ACE" w:rsidR="00FE697D" w:rsidRDefault="00FE697D"/>
    <w:p w14:paraId="2107E88B" w14:textId="4770EFD1" w:rsidR="000D665A" w:rsidRPr="000D665A" w:rsidRDefault="000D665A" w:rsidP="000D665A"/>
    <w:p w14:paraId="52ACFE2A" w14:textId="519F77E9" w:rsidR="000D665A" w:rsidRPr="000D665A" w:rsidRDefault="000D665A" w:rsidP="000D665A"/>
    <w:p w14:paraId="6DC7F9A3" w14:textId="2BC0D3CF" w:rsidR="000D665A" w:rsidRPr="000D665A" w:rsidRDefault="000D665A" w:rsidP="000D665A"/>
    <w:p w14:paraId="1F8A6DC4" w14:textId="1CA1A935" w:rsidR="000D665A" w:rsidRPr="000D665A" w:rsidRDefault="000D665A" w:rsidP="000D665A"/>
    <w:p w14:paraId="00E52828" w14:textId="72422819" w:rsidR="000D665A" w:rsidRPr="000D665A" w:rsidRDefault="000D665A" w:rsidP="000D665A"/>
    <w:p w14:paraId="6F092F4E" w14:textId="4E68C230" w:rsidR="000D665A" w:rsidRPr="000D665A" w:rsidRDefault="000D665A" w:rsidP="000D665A"/>
    <w:p w14:paraId="23EE9936" w14:textId="13786411" w:rsidR="000D665A" w:rsidRPr="000D665A" w:rsidRDefault="000D665A" w:rsidP="000D665A"/>
    <w:p w14:paraId="0CA3A38A" w14:textId="7CC5A3EB" w:rsidR="000D665A" w:rsidRPr="000D665A" w:rsidRDefault="000D665A" w:rsidP="000D665A"/>
    <w:p w14:paraId="452E76D1" w14:textId="229100ED" w:rsidR="000D665A" w:rsidRPr="000D665A" w:rsidRDefault="000D665A" w:rsidP="000D665A"/>
    <w:p w14:paraId="2FDD4523" w14:textId="56B21CAA" w:rsidR="000D665A" w:rsidRPr="000D665A" w:rsidRDefault="000D665A" w:rsidP="000D665A"/>
    <w:p w14:paraId="0A029481" w14:textId="2007DE2D" w:rsidR="000D665A" w:rsidRPr="000D665A" w:rsidRDefault="000D665A" w:rsidP="000D665A"/>
    <w:p w14:paraId="68E3187F" w14:textId="6B2FAA28" w:rsidR="000D665A" w:rsidRPr="000D665A" w:rsidRDefault="000D665A" w:rsidP="000D665A"/>
    <w:p w14:paraId="1E9FC18F" w14:textId="71D15CB1" w:rsidR="000D665A" w:rsidRPr="000D665A" w:rsidRDefault="000D665A" w:rsidP="000D665A"/>
    <w:p w14:paraId="07DDF907" w14:textId="69A7256E" w:rsidR="000D665A" w:rsidRPr="000D665A" w:rsidRDefault="000D665A" w:rsidP="000D665A"/>
    <w:p w14:paraId="4C53ED63" w14:textId="4AC6D58B" w:rsidR="000D665A" w:rsidRPr="000D665A" w:rsidRDefault="000D665A" w:rsidP="000D665A"/>
    <w:p w14:paraId="48FB0286" w14:textId="609C9E07" w:rsidR="000D665A" w:rsidRPr="000D665A" w:rsidRDefault="000D665A" w:rsidP="000D665A"/>
    <w:p w14:paraId="73675A17" w14:textId="5EF8259B" w:rsidR="000D665A" w:rsidRPr="000D665A" w:rsidRDefault="000D665A" w:rsidP="000D665A"/>
    <w:p w14:paraId="70C791E2" w14:textId="33347E7E" w:rsidR="000D665A" w:rsidRPr="000D665A" w:rsidRDefault="000D665A" w:rsidP="000D665A"/>
    <w:p w14:paraId="7FE5771E" w14:textId="2117C7D1" w:rsidR="000D665A" w:rsidRPr="000D665A" w:rsidRDefault="000D665A" w:rsidP="000D665A"/>
    <w:p w14:paraId="2859519A" w14:textId="059C4F06" w:rsidR="000D665A" w:rsidRPr="000D665A" w:rsidRDefault="000D665A" w:rsidP="000D665A"/>
    <w:p w14:paraId="589056FF" w14:textId="346648DB" w:rsidR="000D665A" w:rsidRPr="000D665A" w:rsidRDefault="000D665A" w:rsidP="000D665A"/>
    <w:p w14:paraId="5305D9B1" w14:textId="227D36DE" w:rsidR="000D665A" w:rsidRPr="000D665A" w:rsidRDefault="000D665A" w:rsidP="000D665A"/>
    <w:p w14:paraId="38AE94C7" w14:textId="1C8E5DA1" w:rsidR="000D665A" w:rsidRPr="000D665A" w:rsidRDefault="000D665A" w:rsidP="000D665A"/>
    <w:p w14:paraId="1CAA99F8" w14:textId="57E18693" w:rsidR="000D665A" w:rsidRPr="000D665A" w:rsidRDefault="000D665A" w:rsidP="000D665A"/>
    <w:p w14:paraId="01F49A2F" w14:textId="1FCBBC51" w:rsidR="000D665A" w:rsidRPr="000D665A" w:rsidRDefault="000D665A" w:rsidP="000D665A"/>
    <w:p w14:paraId="66042E97" w14:textId="497C4C6B" w:rsidR="000D665A" w:rsidRPr="000D665A" w:rsidRDefault="000D665A" w:rsidP="000D665A"/>
    <w:p w14:paraId="408C7E7C" w14:textId="68DD3E2D" w:rsidR="000D665A" w:rsidRPr="000D665A" w:rsidRDefault="000D665A" w:rsidP="000D665A"/>
    <w:p w14:paraId="0AA72A1B" w14:textId="4A06F48C" w:rsidR="000D665A" w:rsidRDefault="000D665A" w:rsidP="000D665A"/>
    <w:p w14:paraId="07E0752E" w14:textId="48FC22C7" w:rsidR="000D665A" w:rsidRPr="000D665A" w:rsidRDefault="000D665A" w:rsidP="000D665A"/>
    <w:p w14:paraId="0BCF078F" w14:textId="77777777" w:rsidR="000D665A" w:rsidRPr="000D665A" w:rsidRDefault="000D665A" w:rsidP="000D665A">
      <w:pPr>
        <w:jc w:val="right"/>
      </w:pPr>
    </w:p>
    <w:sectPr w:rsidR="000D665A" w:rsidRPr="000D665A" w:rsidSect="000D665A">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45552" w14:textId="77777777" w:rsidR="000D665A" w:rsidRDefault="000D665A" w:rsidP="000D665A">
      <w:r>
        <w:separator/>
      </w:r>
    </w:p>
  </w:endnote>
  <w:endnote w:type="continuationSeparator" w:id="0">
    <w:p w14:paraId="19BE577C" w14:textId="77777777" w:rsidR="000D665A" w:rsidRDefault="000D665A" w:rsidP="000D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6751283"/>
      <w:docPartObj>
        <w:docPartGallery w:val="Page Numbers (Bottom of Page)"/>
        <w:docPartUnique/>
      </w:docPartObj>
    </w:sdtPr>
    <w:sdtEndPr>
      <w:rPr>
        <w:rFonts w:ascii="Times New Roman" w:hAnsi="Times New Roman" w:cs="Times New Roman"/>
        <w:noProof/>
        <w:sz w:val="20"/>
      </w:rPr>
    </w:sdtEndPr>
    <w:sdtContent>
      <w:p w14:paraId="30B4BCE9" w14:textId="01B88892" w:rsidR="000D665A" w:rsidRPr="000D665A" w:rsidRDefault="000D665A">
        <w:pPr>
          <w:pStyle w:val="Footer"/>
          <w:jc w:val="right"/>
          <w:rPr>
            <w:rFonts w:ascii="Times New Roman" w:hAnsi="Times New Roman" w:cs="Times New Roman"/>
            <w:sz w:val="20"/>
          </w:rPr>
        </w:pPr>
        <w:r w:rsidRPr="000D665A">
          <w:rPr>
            <w:rFonts w:ascii="Times New Roman" w:hAnsi="Times New Roman" w:cs="Times New Roman"/>
            <w:sz w:val="20"/>
          </w:rPr>
          <w:fldChar w:fldCharType="begin"/>
        </w:r>
        <w:r w:rsidRPr="000D665A">
          <w:rPr>
            <w:rFonts w:ascii="Times New Roman" w:hAnsi="Times New Roman" w:cs="Times New Roman"/>
            <w:sz w:val="20"/>
          </w:rPr>
          <w:instrText xml:space="preserve"> PAGE   \* MERGEFORMAT </w:instrText>
        </w:r>
        <w:r w:rsidRPr="000D665A">
          <w:rPr>
            <w:rFonts w:ascii="Times New Roman" w:hAnsi="Times New Roman" w:cs="Times New Roman"/>
            <w:sz w:val="20"/>
          </w:rPr>
          <w:fldChar w:fldCharType="separate"/>
        </w:r>
        <w:r w:rsidRPr="000D665A">
          <w:rPr>
            <w:rFonts w:ascii="Times New Roman" w:hAnsi="Times New Roman" w:cs="Times New Roman"/>
            <w:noProof/>
            <w:sz w:val="20"/>
          </w:rPr>
          <w:t>2</w:t>
        </w:r>
        <w:r w:rsidRPr="000D665A">
          <w:rPr>
            <w:rFonts w:ascii="Times New Roman" w:hAnsi="Times New Roman" w:cs="Times New Roman"/>
            <w:noProof/>
            <w:sz w:val="20"/>
          </w:rPr>
          <w:fldChar w:fldCharType="end"/>
        </w:r>
      </w:p>
    </w:sdtContent>
  </w:sdt>
  <w:p w14:paraId="7866D5DA" w14:textId="77777777" w:rsidR="003A4CE2" w:rsidRPr="00043CA5" w:rsidRDefault="000F32C1">
    <w:pPr>
      <w:pStyle w:val="Footer"/>
      <w:rPr>
        <w:rFonts w:ascii="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7B02A" w14:textId="77777777" w:rsidR="000D665A" w:rsidRDefault="000D665A" w:rsidP="000D665A">
      <w:r>
        <w:separator/>
      </w:r>
    </w:p>
  </w:footnote>
  <w:footnote w:type="continuationSeparator" w:id="0">
    <w:p w14:paraId="0CF428B5" w14:textId="77777777" w:rsidR="000D665A" w:rsidRDefault="000D665A" w:rsidP="000D6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81D08"/>
    <w:multiLevelType w:val="hybridMultilevel"/>
    <w:tmpl w:val="4D40FCEA"/>
    <w:lvl w:ilvl="0" w:tplc="2A6498E6">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 w15:restartNumberingAfterBreak="0">
    <w:nsid w:val="1E0F4FA0"/>
    <w:multiLevelType w:val="hybridMultilevel"/>
    <w:tmpl w:val="12B62310"/>
    <w:lvl w:ilvl="0" w:tplc="4F828B26">
      <w:start w:val="1"/>
      <w:numFmt w:val="lowerLetter"/>
      <w:lvlText w:val="(%1)"/>
      <w:lvlJc w:val="left"/>
      <w:pPr>
        <w:ind w:left="1489" w:hanging="78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15:restartNumberingAfterBreak="0">
    <w:nsid w:val="3D5A5618"/>
    <w:multiLevelType w:val="hybridMultilevel"/>
    <w:tmpl w:val="66F077A0"/>
    <w:lvl w:ilvl="0" w:tplc="994EC56C">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3" w15:restartNumberingAfterBreak="0">
    <w:nsid w:val="4A76678B"/>
    <w:multiLevelType w:val="hybridMultilevel"/>
    <w:tmpl w:val="53BCA3DC"/>
    <w:lvl w:ilvl="0" w:tplc="5FFE0A84">
      <w:start w:val="4"/>
      <w:numFmt w:val="lowerLetter"/>
      <w:lvlText w:val="%1."/>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900824">
      <w:start w:val="1"/>
      <w:numFmt w:val="lowerRoman"/>
      <w:lvlText w:val="(%2)"/>
      <w:lvlJc w:val="left"/>
      <w:pPr>
        <w:ind w:left="2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42D7F2">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488F1C">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707CD8">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2CF98E">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425AA6">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EAB612">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B0B6DC">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F55EFB"/>
    <w:multiLevelType w:val="hybridMultilevel"/>
    <w:tmpl w:val="3E500D7A"/>
    <w:lvl w:ilvl="0" w:tplc="9C54B35C">
      <w:start w:val="1"/>
      <w:numFmt w:val="decimal"/>
      <w:lvlText w:val="(%1)"/>
      <w:lvlJc w:val="left"/>
      <w:pPr>
        <w:ind w:left="360" w:hanging="360"/>
      </w:pPr>
      <w:rPr>
        <w:rFonts w:hint="default"/>
        <w:sz w:val="24"/>
        <w:szCs w:val="24"/>
      </w:rPr>
    </w:lvl>
    <w:lvl w:ilvl="1" w:tplc="04090019">
      <w:start w:val="1"/>
      <w:numFmt w:val="lowerLetter"/>
      <w:lvlText w:val="%2."/>
      <w:lvlJc w:val="left"/>
      <w:pPr>
        <w:ind w:left="-796" w:hanging="360"/>
      </w:pPr>
    </w:lvl>
    <w:lvl w:ilvl="2" w:tplc="0409001B">
      <w:start w:val="1"/>
      <w:numFmt w:val="lowerRoman"/>
      <w:lvlText w:val="%3."/>
      <w:lvlJc w:val="right"/>
      <w:pPr>
        <w:ind w:left="-76" w:hanging="180"/>
      </w:pPr>
    </w:lvl>
    <w:lvl w:ilvl="3" w:tplc="0409000F" w:tentative="1">
      <w:start w:val="1"/>
      <w:numFmt w:val="decimal"/>
      <w:lvlText w:val="%4."/>
      <w:lvlJc w:val="left"/>
      <w:pPr>
        <w:ind w:left="644" w:hanging="360"/>
      </w:pPr>
    </w:lvl>
    <w:lvl w:ilvl="4" w:tplc="04090019" w:tentative="1">
      <w:start w:val="1"/>
      <w:numFmt w:val="lowerLetter"/>
      <w:lvlText w:val="%5."/>
      <w:lvlJc w:val="left"/>
      <w:pPr>
        <w:ind w:left="1364" w:hanging="360"/>
      </w:pPr>
    </w:lvl>
    <w:lvl w:ilvl="5" w:tplc="0409001B" w:tentative="1">
      <w:start w:val="1"/>
      <w:numFmt w:val="lowerRoman"/>
      <w:lvlText w:val="%6."/>
      <w:lvlJc w:val="right"/>
      <w:pPr>
        <w:ind w:left="2084" w:hanging="180"/>
      </w:pPr>
    </w:lvl>
    <w:lvl w:ilvl="6" w:tplc="0409000F" w:tentative="1">
      <w:start w:val="1"/>
      <w:numFmt w:val="decimal"/>
      <w:lvlText w:val="%7."/>
      <w:lvlJc w:val="left"/>
      <w:pPr>
        <w:ind w:left="2804" w:hanging="360"/>
      </w:pPr>
    </w:lvl>
    <w:lvl w:ilvl="7" w:tplc="04090019" w:tentative="1">
      <w:start w:val="1"/>
      <w:numFmt w:val="lowerLetter"/>
      <w:lvlText w:val="%8."/>
      <w:lvlJc w:val="left"/>
      <w:pPr>
        <w:ind w:left="3524" w:hanging="360"/>
      </w:pPr>
    </w:lvl>
    <w:lvl w:ilvl="8" w:tplc="0409001B" w:tentative="1">
      <w:start w:val="1"/>
      <w:numFmt w:val="lowerRoman"/>
      <w:lvlText w:val="%9."/>
      <w:lvlJc w:val="right"/>
      <w:pPr>
        <w:ind w:left="4244" w:hanging="180"/>
      </w:pPr>
    </w:lvl>
  </w:abstractNum>
  <w:abstractNum w:abstractNumId="5" w15:restartNumberingAfterBreak="0">
    <w:nsid w:val="4FC047BC"/>
    <w:multiLevelType w:val="hybridMultilevel"/>
    <w:tmpl w:val="EFD66E16"/>
    <w:lvl w:ilvl="0" w:tplc="BF188148">
      <w:start w:val="1"/>
      <w:numFmt w:val="decimal"/>
      <w:lvlText w:val="(%1)"/>
      <w:lvlJc w:val="left"/>
      <w:pPr>
        <w:ind w:left="2520" w:hanging="360"/>
      </w:pPr>
      <w:rPr>
        <w:rFonts w:hint="default"/>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7E9576B"/>
    <w:multiLevelType w:val="hybridMultilevel"/>
    <w:tmpl w:val="1E40FB60"/>
    <w:lvl w:ilvl="0" w:tplc="3B8E47C0">
      <w:start w:val="1"/>
      <w:numFmt w:val="decimal"/>
      <w:lvlText w:val="(%1)"/>
      <w:lvlJc w:val="left"/>
      <w:pPr>
        <w:ind w:left="540" w:hanging="360"/>
      </w:pPr>
      <w:rPr>
        <w:rFonts w:hint="default"/>
        <w:sz w:val="24"/>
        <w:szCs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5"/>
  </w:num>
  <w:num w:numId="3">
    <w:abstractNumId w:val="6"/>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5A"/>
    <w:rsid w:val="000D665A"/>
    <w:rsid w:val="000F32C1"/>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0E1A"/>
  <w15:chartTrackingRefBased/>
  <w15:docId w15:val="{8DE6676E-B4E1-4261-8FC0-5F2AB4AD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65A"/>
    <w:pPr>
      <w:spacing w:after="0" w:line="240" w:lineRule="auto"/>
    </w:pPr>
    <w:rPr>
      <w:rFonts w:ascii="Times New Roman" w:eastAsia="Times New Roman" w:hAnsi="Times New Roman" w:cs="Times New Roman"/>
      <w:sz w:val="24"/>
      <w:szCs w:val="24"/>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65A"/>
    <w:pPr>
      <w:ind w:left="720"/>
    </w:pPr>
    <w:rPr>
      <w:lang w:val="en-US"/>
    </w:rPr>
  </w:style>
  <w:style w:type="paragraph" w:styleId="Footer">
    <w:name w:val="footer"/>
    <w:basedOn w:val="Normal"/>
    <w:link w:val="FooterChar"/>
    <w:uiPriority w:val="99"/>
    <w:unhideWhenUsed/>
    <w:rsid w:val="000D665A"/>
    <w:pPr>
      <w:tabs>
        <w:tab w:val="center" w:pos="4680"/>
        <w:tab w:val="right" w:pos="9360"/>
      </w:tabs>
      <w:spacing w:after="200" w:line="276" w:lineRule="auto"/>
    </w:pPr>
    <w:rPr>
      <w:rFonts w:ascii="Calibri" w:hAnsi="Calibri" w:cs="Mangal"/>
      <w:sz w:val="22"/>
      <w:szCs w:val="20"/>
      <w:lang w:val="en-US" w:bidi="hi-IN"/>
    </w:rPr>
  </w:style>
  <w:style w:type="character" w:customStyle="1" w:styleId="FooterChar">
    <w:name w:val="Footer Char"/>
    <w:basedOn w:val="DefaultParagraphFont"/>
    <w:link w:val="Footer"/>
    <w:uiPriority w:val="99"/>
    <w:rsid w:val="000D665A"/>
    <w:rPr>
      <w:rFonts w:ascii="Calibri" w:eastAsia="Times New Roman" w:hAnsi="Calibri" w:cs="Mangal"/>
    </w:rPr>
  </w:style>
  <w:style w:type="paragraph" w:styleId="NoSpacing">
    <w:name w:val="No Spacing"/>
    <w:uiPriority w:val="1"/>
    <w:qFormat/>
    <w:rsid w:val="000D665A"/>
    <w:pPr>
      <w:spacing w:after="0" w:line="240" w:lineRule="auto"/>
    </w:pPr>
    <w:rPr>
      <w:rFonts w:ascii="Times New Roman" w:eastAsia="Times New Roman" w:hAnsi="Times New Roman" w:cs="Times New Roman"/>
      <w:sz w:val="24"/>
      <w:szCs w:val="24"/>
      <w:lang w:val="en-IN" w:bidi="ar-SA"/>
    </w:rPr>
  </w:style>
  <w:style w:type="paragraph" w:styleId="Header">
    <w:name w:val="header"/>
    <w:basedOn w:val="Normal"/>
    <w:link w:val="HeaderChar"/>
    <w:uiPriority w:val="99"/>
    <w:unhideWhenUsed/>
    <w:rsid w:val="000D665A"/>
    <w:pPr>
      <w:tabs>
        <w:tab w:val="center" w:pos="4680"/>
        <w:tab w:val="right" w:pos="9360"/>
      </w:tabs>
    </w:pPr>
  </w:style>
  <w:style w:type="character" w:customStyle="1" w:styleId="HeaderChar">
    <w:name w:val="Header Char"/>
    <w:basedOn w:val="DefaultParagraphFont"/>
    <w:link w:val="Header"/>
    <w:uiPriority w:val="99"/>
    <w:rsid w:val="000D665A"/>
    <w:rPr>
      <w:rFonts w:ascii="Times New Roman" w:eastAsia="Times New Roman" w:hAnsi="Times New Roman" w:cs="Times New Roman"/>
      <w:sz w:val="24"/>
      <w:szCs w:val="24"/>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1</cp:revision>
  <dcterms:created xsi:type="dcterms:W3CDTF">2020-10-07T08:58:00Z</dcterms:created>
  <dcterms:modified xsi:type="dcterms:W3CDTF">2020-10-07T09:14:00Z</dcterms:modified>
</cp:coreProperties>
</file>